
<file path=[Content_Types].xml><?xml version="1.0" encoding="utf-8"?>
<Types xmlns="http://schemas.openxmlformats.org/package/2006/content-types">
  <Override PartName="/_rels/.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settings.xml" ContentType="application/vnd.openxmlformats-officedocument.wordprocessingml.settings+xml"/>
  <Override PartName="/word/theme/theme1.xml" ContentType="application/vnd.openxmlformats-officedocument.theme+xml"/>
  <Override PartName="/word/document.xml" ContentType="application/vnd.openxmlformats-officedocument.wordprocessingml.document.main+xml"/>
  <Override PartName="/word/media/image1.wmf" ContentType="image/x-wmf"/>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jc w:val="center"/>
        <w:rPr>
          <w:rFonts w:ascii="Calibri" w:hAnsi="Calibri" w:cs="Calibri" w:asciiTheme="minorHAnsi" w:cstheme="minorHAnsi" w:hAnsiTheme="minorHAnsi"/>
          <w:sz w:val="24"/>
          <w:szCs w:val="24"/>
        </w:rPr>
      </w:pPr>
      <w:r>
        <w:rPr/>
        <w:drawing>
          <wp:inline distT="0" distB="0" distL="0" distR="0">
            <wp:extent cx="739140" cy="807720"/>
            <wp:effectExtent l="0" t="0" r="0" b="0"/>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2"/>
                    <a:stretch>
                      <a:fillRect/>
                    </a:stretch>
                  </pic:blipFill>
                  <pic:spPr bwMode="auto">
                    <a:xfrm>
                      <a:off x="0" y="0"/>
                      <a:ext cx="739140" cy="807720"/>
                    </a:xfrm>
                    <a:prstGeom prst="rect">
                      <a:avLst/>
                    </a:prstGeom>
                  </pic:spPr>
                </pic:pic>
              </a:graphicData>
            </a:graphic>
          </wp:inline>
        </w:drawing>
      </w:r>
      <w:r>
        <w:rPr>
          <w:rFonts w:cs="Calibri" w:cstheme="minorHAnsi"/>
          <w:color w:val="000000"/>
          <w:sz w:val="24"/>
          <w:szCs w:val="24"/>
        </w:rPr>
        <w:br/>
      </w:r>
      <w:r>
        <w:rPr>
          <w:rFonts w:cs="Calibri" w:cstheme="minorHAnsi"/>
          <w:b/>
          <w:bCs/>
          <w:color w:val="000000"/>
          <w:sz w:val="24"/>
          <w:szCs w:val="24"/>
        </w:rPr>
        <w:t>MODELO DE TERMO DE REFERÊNCIA – LEI 14.133/21</w:t>
      </w:r>
    </w:p>
    <w:p>
      <w:pPr>
        <w:pStyle w:val="Normal"/>
        <w:spacing w:lineRule="auto" w:line="240" w:before="0" w:after="0"/>
        <w:jc w:val="center"/>
        <w:rPr>
          <w:rFonts w:ascii="Calibri" w:hAnsi="Calibri" w:cs="Calibri" w:asciiTheme="minorHAnsi" w:cstheme="minorHAnsi" w:hAnsiTheme="minorHAnsi"/>
          <w:sz w:val="24"/>
          <w:szCs w:val="24"/>
        </w:rPr>
      </w:pPr>
      <w:r>
        <w:rPr>
          <w:rFonts w:cs="Calibri" w:cstheme="minorHAnsi"/>
          <w:b/>
          <w:bCs/>
          <w:color w:val="000000"/>
          <w:sz w:val="24"/>
          <w:szCs w:val="24"/>
        </w:rPr>
        <w:t>SERVIÇO COMUM DE ENGENHARIA – CONTRATAÇÃO DIRETA</w:t>
      </w:r>
    </w:p>
    <w:p>
      <w:pPr>
        <w:pStyle w:val="Normal"/>
        <w:spacing w:lineRule="auto" w:line="240" w:before="0" w:after="0"/>
        <w:jc w:val="center"/>
        <w:rPr>
          <w:b/>
          <w:b/>
          <w:bCs/>
          <w:color w:val="000000"/>
          <w:highlight w:val="white"/>
        </w:rPr>
      </w:pPr>
      <w:r>
        <w:rPr>
          <w:rFonts w:cs="Calibri" w:cstheme="minorHAnsi"/>
          <w:b/>
          <w:bCs/>
          <w:iCs/>
          <w:color w:val="000000"/>
          <w:sz w:val="24"/>
          <w:szCs w:val="24"/>
          <w:highlight w:val="white"/>
        </w:rPr>
        <w:t xml:space="preserve">Processo Administrativo n. </w:t>
      </w:r>
      <w:r>
        <w:rPr>
          <w:rFonts w:cs="Calibri" w:cstheme="minorHAnsi"/>
          <w:b/>
          <w:bCs/>
          <w:i/>
          <w:color w:val="000000"/>
          <w:sz w:val="24"/>
          <w:szCs w:val="24"/>
          <w:highlight w:val="white"/>
        </w:rPr>
        <w:t>(63514.000438/2023-12)</w:t>
      </w:r>
    </w:p>
    <w:p>
      <w:pPr>
        <w:pStyle w:val="Normal"/>
        <w:spacing w:lineRule="auto" w:line="240" w:before="0" w:after="0"/>
        <w:jc w:val="center"/>
        <w:rPr>
          <w:rFonts w:ascii="Calibri" w:hAnsi="Calibri" w:cs="Calibri" w:asciiTheme="minorHAnsi" w:cstheme="minorHAnsi" w:hAnsiTheme="minorHAnsi"/>
          <w:b/>
          <w:b/>
          <w:bCs/>
          <w:i/>
          <w:i/>
          <w:color w:val="FF0000"/>
          <w:sz w:val="24"/>
          <w:szCs w:val="24"/>
        </w:rPr>
      </w:pPr>
      <w:r>
        <w:rPr>
          <w:rFonts w:cs="Calibri" w:cstheme="minorHAnsi"/>
          <w:b/>
          <w:bCs/>
          <w:i/>
          <w:color w:val="FF0000"/>
          <w:sz w:val="24"/>
          <w:szCs w:val="24"/>
        </w:rPr>
      </w:r>
    </w:p>
    <w:p>
      <w:pPr>
        <w:pStyle w:val="Nivel1"/>
        <w:numPr>
          <w:ilvl w:val="0"/>
          <w:numId w:val="1"/>
        </w:numPr>
        <w:spacing w:lineRule="auto" w:line="240" w:before="0" w:after="0"/>
        <w:rPr>
          <w:rFonts w:ascii="Calibri" w:hAnsi="Calibri" w:cs="Calibri" w:asciiTheme="minorHAnsi" w:cstheme="minorHAnsi" w:hAnsiTheme="minorHAnsi"/>
          <w:szCs w:val="24"/>
        </w:rPr>
      </w:pPr>
      <w:r>
        <w:rPr>
          <w:rFonts w:cs="Calibri" w:cstheme="minorHAnsi"/>
          <w:color w:val="auto"/>
          <w:szCs w:val="24"/>
        </w:rPr>
        <w:t>DAS CONDIÇÕES GERAIS DA CONTRATAÇÃO (art. 6º, XXIII, “a” e “i” da Lei n. 14.133/2021).</w:t>
      </w:r>
    </w:p>
    <w:p>
      <w:pPr>
        <w:pStyle w:val="ListParagraph"/>
        <w:jc w:val="both"/>
        <w:rPr>
          <w:rFonts w:ascii="Calibri" w:hAnsi="Calibri" w:cs="Calibri" w:asciiTheme="minorHAnsi" w:cstheme="minorHAnsi" w:hAnsiTheme="minorHAnsi"/>
          <w:szCs w:val="24"/>
        </w:rPr>
      </w:pPr>
      <w:r>
        <w:rPr>
          <w:rFonts w:cs="Calibri" w:cstheme="minorHAnsi"/>
          <w:szCs w:val="24"/>
        </w:rPr>
        <w:t xml:space="preserve">Contratação de </w:t>
      </w:r>
      <w:r>
        <w:rPr>
          <w:rFonts w:cs="Calibri" w:cstheme="minorHAnsi"/>
          <w:color w:val="000000"/>
          <w:szCs w:val="24"/>
        </w:rPr>
        <w:t xml:space="preserve">Serviço de Engenharia visando a elaboração de projeto de </w:t>
      </w:r>
      <w:r>
        <w:rPr>
          <w:rFonts w:cs="Calibri" w:cstheme="minorHAnsi"/>
          <w:szCs w:val="24"/>
        </w:rPr>
        <w:t xml:space="preserve">arquitetura e projetos complementares, orçamento, cronograma físico-financeiro e demais documentos necessários à contratação de obra </w:t>
      </w:r>
      <w:r>
        <w:rPr>
          <w:rFonts w:eastAsia="Times New Roman" w:cs="Calibri" w:cstheme="minorHAnsi"/>
          <w:szCs w:val="24"/>
          <w:lang w:eastAsia="pt-BR"/>
        </w:rPr>
        <w:t xml:space="preserve">de </w:t>
      </w:r>
      <w:r>
        <w:rPr>
          <w:rFonts w:cs="Calibri" w:cstheme="minorHAnsi"/>
          <w:szCs w:val="24"/>
        </w:rPr>
        <w:t>modernização da Divisão de Municiamento</w:t>
      </w:r>
      <w:r>
        <w:rPr>
          <w:rFonts w:eastAsia="Times New Roman" w:cs="Calibri" w:cstheme="minorHAnsi"/>
          <w:szCs w:val="24"/>
          <w:lang w:eastAsia="pt-BR"/>
        </w:rPr>
        <w:t xml:space="preserve"> do Centro de Intendência da Marinha em Parada de Lucas</w:t>
      </w:r>
      <w:r>
        <w:rPr>
          <w:rFonts w:cs="Calibri" w:cstheme="minorHAnsi"/>
          <w:color w:val="000000"/>
          <w:szCs w:val="24"/>
        </w:rPr>
        <w:t xml:space="preserve"> (CeIMPL)</w:t>
      </w:r>
      <w:r>
        <w:rPr>
          <w:rFonts w:cs="Calibri" w:cstheme="minorHAnsi"/>
          <w:bCs/>
          <w:color w:val="000000"/>
          <w:szCs w:val="24"/>
        </w:rPr>
        <w:t>,</w:t>
      </w:r>
      <w:r>
        <w:rPr>
          <w:rFonts w:cs="Calibri" w:cstheme="minorHAnsi"/>
          <w:color w:val="000000"/>
          <w:szCs w:val="24"/>
        </w:rPr>
        <w:t xml:space="preserve"> nos termos da tabela abaixo, conforme condições e exigências estabelecidas neste instrumento</w:t>
      </w:r>
      <w:r>
        <w:rPr>
          <w:rFonts w:cs="Calibri" w:cstheme="minorHAnsi"/>
          <w:iCs/>
          <w:color w:val="000000"/>
          <w:szCs w:val="24"/>
        </w:rPr>
        <w:t>.</w:t>
      </w:r>
    </w:p>
    <w:p>
      <w:pPr>
        <w:pStyle w:val="ListParagraph"/>
        <w:spacing w:lineRule="auto" w:line="240" w:before="0" w:after="0"/>
        <w:ind w:left="432" w:hanging="357"/>
        <w:contextualSpacing/>
        <w:jc w:val="both"/>
        <w:rPr>
          <w:rFonts w:ascii="Calibri" w:hAnsi="Calibri" w:cs="Calibri" w:asciiTheme="minorHAnsi" w:cstheme="minorHAnsi" w:hAnsiTheme="minorHAnsi"/>
          <w:i/>
          <w:i/>
          <w:iCs/>
          <w:szCs w:val="24"/>
        </w:rPr>
      </w:pPr>
      <w:r>
        <w:rPr>
          <w:rFonts w:cs="Calibri" w:cstheme="minorHAnsi"/>
          <w:i/>
          <w:iCs/>
          <w:szCs w:val="24"/>
        </w:rPr>
      </w:r>
    </w:p>
    <w:p>
      <w:pPr>
        <w:pStyle w:val="ListParagraph"/>
        <w:spacing w:lineRule="auto" w:line="240" w:before="0" w:after="0"/>
        <w:ind w:left="858" w:hanging="357"/>
        <w:contextualSpacing/>
        <w:jc w:val="both"/>
        <w:rPr>
          <w:rFonts w:ascii="Calibri" w:hAnsi="Calibri" w:cs="Calibri" w:asciiTheme="minorHAnsi" w:cstheme="minorHAnsi" w:hAnsiTheme="minorHAnsi"/>
          <w:b/>
          <w:b/>
          <w:iCs/>
          <w:szCs w:val="24"/>
        </w:rPr>
      </w:pPr>
      <w:r>
        <w:rPr>
          <w:rFonts w:cs="Calibri" w:cstheme="minorHAnsi"/>
          <w:b/>
          <w:iCs/>
          <w:szCs w:val="24"/>
        </w:rPr>
      </w:r>
    </w:p>
    <w:tbl>
      <w:tblPr>
        <w:tblW w:w="9015" w:type="dxa"/>
        <w:jc w:val="left"/>
        <w:tblInd w:w="1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3" w:type="dxa"/>
          <w:bottom w:w="0" w:type="dxa"/>
          <w:right w:w="108" w:type="dxa"/>
        </w:tblCellMar>
        <w:tblLook w:val="0000"/>
      </w:tblPr>
      <w:tblGrid>
        <w:gridCol w:w="1061"/>
        <w:gridCol w:w="2261"/>
        <w:gridCol w:w="1675"/>
        <w:gridCol w:w="1485"/>
        <w:gridCol w:w="987"/>
        <w:gridCol w:w="1545"/>
      </w:tblGrid>
      <w:tr>
        <w:trPr/>
        <w:tc>
          <w:tcPr>
            <w:tcW w:w="106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tabs>
                <w:tab w:val="left" w:pos="735" w:leader="none"/>
              </w:tabs>
              <w:spacing w:lineRule="auto" w:line="240" w:before="0" w:after="0"/>
              <w:ind w:left="737" w:right="-57" w:hanging="737"/>
              <w:jc w:val="center"/>
              <w:rPr>
                <w:rFonts w:ascii="Calibri" w:hAnsi="Calibri" w:cs="Calibri" w:asciiTheme="minorHAnsi" w:cstheme="minorHAnsi" w:hAnsiTheme="minorHAnsi"/>
                <w:sz w:val="24"/>
                <w:szCs w:val="24"/>
              </w:rPr>
            </w:pPr>
            <w:r>
              <w:rPr>
                <w:rFonts w:cs="Calibri" w:cstheme="minorHAnsi"/>
                <w:b/>
                <w:bCs/>
                <w:color w:val="000000"/>
                <w:sz w:val="24"/>
                <w:szCs w:val="24"/>
              </w:rPr>
              <w:t>ITEM</w:t>
            </w:r>
          </w:p>
          <w:p>
            <w:pPr>
              <w:pStyle w:val="Normal"/>
              <w:widowControl w:val="false"/>
              <w:spacing w:lineRule="auto" w:line="240" w:before="0" w:after="0"/>
              <w:jc w:val="center"/>
              <w:rPr>
                <w:rFonts w:ascii="Calibri" w:hAnsi="Calibri" w:cs="Calibri" w:asciiTheme="minorHAnsi" w:cstheme="minorHAnsi" w:hAnsiTheme="minorHAnsi"/>
                <w:b/>
                <w:b/>
                <w:color w:val="000000"/>
                <w:sz w:val="24"/>
                <w:szCs w:val="24"/>
              </w:rPr>
            </w:pPr>
            <w:r>
              <w:rPr>
                <w:rFonts w:cs="Calibri" w:cstheme="minorHAnsi"/>
                <w:b/>
                <w:color w:val="000000"/>
                <w:sz w:val="24"/>
                <w:szCs w:val="24"/>
              </w:rPr>
            </w:r>
          </w:p>
        </w:tc>
        <w:tc>
          <w:tcPr>
            <w:tcW w:w="226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240" w:before="0" w:after="0"/>
              <w:ind w:left="0" w:firstLine="57"/>
              <w:jc w:val="center"/>
              <w:rPr>
                <w:rFonts w:ascii="Calibri" w:hAnsi="Calibri" w:cs="Calibri" w:asciiTheme="minorHAnsi" w:cstheme="minorHAnsi" w:hAnsiTheme="minorHAnsi"/>
                <w:sz w:val="24"/>
                <w:szCs w:val="24"/>
              </w:rPr>
            </w:pPr>
            <w:r>
              <w:rPr>
                <w:rFonts w:cs="Calibri" w:cstheme="minorHAnsi"/>
                <w:b/>
                <w:bCs/>
                <w:color w:val="000000"/>
                <w:sz w:val="24"/>
                <w:szCs w:val="24"/>
              </w:rPr>
              <w:t>ESPECIFICAÇÃO</w:t>
            </w:r>
          </w:p>
        </w:tc>
        <w:tc>
          <w:tcPr>
            <w:tcW w:w="16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240" w:before="0" w:after="0"/>
              <w:ind w:left="0" w:hanging="0"/>
              <w:jc w:val="center"/>
              <w:rPr>
                <w:rFonts w:ascii="Calibri" w:hAnsi="Calibri" w:cs="Calibri" w:asciiTheme="minorHAnsi" w:cstheme="minorHAnsi" w:hAnsiTheme="minorHAnsi"/>
                <w:sz w:val="24"/>
                <w:szCs w:val="24"/>
              </w:rPr>
            </w:pPr>
            <w:r>
              <w:rPr>
                <w:rFonts w:cs="Calibri" w:cstheme="minorHAnsi"/>
                <w:b/>
                <w:bCs/>
                <w:color w:val="000000"/>
                <w:sz w:val="24"/>
                <w:szCs w:val="24"/>
              </w:rPr>
              <w:t>CATSER</w:t>
            </w:r>
          </w:p>
        </w:tc>
        <w:tc>
          <w:tcPr>
            <w:tcW w:w="14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240" w:before="0" w:after="0"/>
              <w:ind w:left="0" w:hanging="0"/>
              <w:jc w:val="center"/>
              <w:rPr>
                <w:rFonts w:ascii="Calibri" w:hAnsi="Calibri" w:cs="Calibri" w:asciiTheme="minorHAnsi" w:cstheme="minorHAnsi" w:hAnsiTheme="minorHAnsi"/>
                <w:sz w:val="24"/>
                <w:szCs w:val="24"/>
              </w:rPr>
            </w:pPr>
            <w:r>
              <w:rPr>
                <w:rFonts w:cs="Calibri" w:cstheme="minorHAnsi"/>
                <w:b/>
                <w:bCs/>
                <w:color w:val="000000"/>
                <w:sz w:val="24"/>
                <w:szCs w:val="24"/>
              </w:rPr>
              <w:t>UNIDADE DE MEDIDA</w:t>
            </w:r>
          </w:p>
        </w:tc>
        <w:tc>
          <w:tcPr>
            <w:tcW w:w="98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240" w:before="0" w:after="0"/>
              <w:ind w:left="-57" w:hanging="0"/>
              <w:jc w:val="center"/>
              <w:rPr>
                <w:rFonts w:ascii="Calibri" w:hAnsi="Calibri" w:cs="Calibri" w:asciiTheme="minorHAnsi" w:cstheme="minorHAnsi" w:hAnsiTheme="minorHAnsi"/>
                <w:sz w:val="24"/>
                <w:szCs w:val="24"/>
              </w:rPr>
            </w:pPr>
            <w:r>
              <w:rPr>
                <w:rFonts w:cs="Calibri" w:cstheme="minorHAnsi"/>
                <w:b/>
                <w:bCs/>
                <w:sz w:val="24"/>
                <w:szCs w:val="24"/>
              </w:rPr>
              <w:t>QTD</w:t>
            </w:r>
          </w:p>
        </w:tc>
        <w:tc>
          <w:tcPr>
            <w:tcW w:w="15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240" w:before="0" w:after="0"/>
              <w:ind w:left="0" w:hanging="0"/>
              <w:jc w:val="center"/>
              <w:rPr>
                <w:rFonts w:ascii="Calibri" w:hAnsi="Calibri" w:cs="Calibri" w:asciiTheme="minorHAnsi" w:cstheme="minorHAnsi" w:hAnsiTheme="minorHAnsi"/>
                <w:sz w:val="24"/>
                <w:szCs w:val="24"/>
              </w:rPr>
            </w:pPr>
            <w:r>
              <w:rPr>
                <w:rFonts w:cs="Calibri" w:cstheme="minorHAnsi"/>
                <w:b/>
                <w:bCs/>
                <w:sz w:val="24"/>
                <w:szCs w:val="24"/>
              </w:rPr>
              <w:t>VALOR UNITÁRIO</w:t>
            </w:r>
          </w:p>
        </w:tc>
      </w:tr>
      <w:tr>
        <w:trPr/>
        <w:tc>
          <w:tcPr>
            <w:tcW w:w="106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spacing w:lineRule="auto" w:line="240" w:before="0" w:after="0"/>
              <w:ind w:left="0" w:hanging="0"/>
              <w:jc w:val="center"/>
              <w:rPr>
                <w:rFonts w:ascii="Calibri" w:hAnsi="Calibri" w:cs="Calibri" w:asciiTheme="minorHAnsi" w:cstheme="minorHAnsi" w:hAnsiTheme="minorHAnsi"/>
                <w:bCs/>
                <w:sz w:val="24"/>
                <w:szCs w:val="24"/>
              </w:rPr>
            </w:pPr>
            <w:r>
              <w:rPr>
                <w:rFonts w:cs="Calibri" w:cstheme="minorHAnsi"/>
                <w:bCs/>
                <w:color w:val="000000"/>
                <w:sz w:val="24"/>
                <w:szCs w:val="24"/>
              </w:rPr>
              <w:t>1</w:t>
            </w:r>
          </w:p>
        </w:tc>
        <w:tc>
          <w:tcPr>
            <w:tcW w:w="226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spacing w:lineRule="auto" w:line="240" w:before="0" w:after="0"/>
              <w:ind w:left="0" w:hanging="57"/>
              <w:rPr>
                <w:rFonts w:ascii="Calibri" w:hAnsi="Calibri" w:cs="Calibri" w:asciiTheme="minorHAnsi" w:cstheme="minorHAnsi" w:hAnsiTheme="minorHAnsi"/>
                <w:sz w:val="24"/>
                <w:szCs w:val="24"/>
              </w:rPr>
            </w:pPr>
            <w:r>
              <w:rPr>
                <w:rFonts w:cs="Calibri" w:cstheme="minorHAnsi"/>
                <w:color w:val="000000"/>
                <w:sz w:val="24"/>
                <w:szCs w:val="24"/>
              </w:rPr>
              <w:t xml:space="preserve">Elaboração de Projeto de Arquitetura e Projetos Complementares, Orçamentos, Cronograma </w:t>
            </w:r>
            <w:r>
              <w:rPr>
                <w:rFonts w:cs="Calibri" w:cstheme="minorHAnsi"/>
                <w:sz w:val="24"/>
                <w:szCs w:val="24"/>
              </w:rPr>
              <w:t>e demais documentos</w:t>
            </w:r>
            <w:r>
              <w:rPr>
                <w:rFonts w:cs="Calibri" w:cstheme="minorHAnsi"/>
                <w:color w:val="000000"/>
                <w:sz w:val="24"/>
                <w:szCs w:val="24"/>
              </w:rPr>
              <w:t xml:space="preserve"> necessários à contratação das obras de modernização da Divisão de Municiamento do CeIMPL.</w:t>
            </w:r>
          </w:p>
        </w:tc>
        <w:tc>
          <w:tcPr>
            <w:tcW w:w="16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spacing w:lineRule="auto" w:line="240" w:before="0" w:after="0"/>
              <w:ind w:left="-57" w:hanging="0"/>
              <w:jc w:val="center"/>
              <w:rPr>
                <w:rFonts w:ascii="Calibri" w:hAnsi="Calibri" w:cs="Calibri" w:asciiTheme="minorHAnsi" w:cstheme="minorHAnsi" w:hAnsiTheme="minorHAnsi"/>
                <w:sz w:val="24"/>
                <w:szCs w:val="24"/>
              </w:rPr>
            </w:pPr>
            <w:r>
              <w:rPr>
                <w:rFonts w:cs="Calibri" w:cstheme="minorHAnsi"/>
                <w:color w:val="000000"/>
                <w:sz w:val="24"/>
                <w:szCs w:val="24"/>
              </w:rPr>
              <w:t xml:space="preserve">78 - Estudos e Projetos de Arquitetura </w:t>
            </w:r>
          </w:p>
        </w:tc>
        <w:tc>
          <w:tcPr>
            <w:tcW w:w="14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spacing w:lineRule="auto" w:line="240" w:before="0" w:after="0"/>
              <w:ind w:left="0" w:hanging="0"/>
              <w:jc w:val="center"/>
              <w:rPr>
                <w:rFonts w:ascii="Calibri" w:hAnsi="Calibri" w:cs="Calibri" w:asciiTheme="minorHAnsi" w:cstheme="minorHAnsi" w:hAnsiTheme="minorHAnsi"/>
                <w:sz w:val="24"/>
                <w:szCs w:val="24"/>
              </w:rPr>
            </w:pPr>
            <w:r>
              <w:rPr>
                <w:rFonts w:cs="Calibri" w:cstheme="minorHAnsi"/>
                <w:color w:val="000000"/>
                <w:sz w:val="24"/>
                <w:szCs w:val="24"/>
              </w:rPr>
              <w:t>Serviço</w:t>
            </w:r>
          </w:p>
        </w:tc>
        <w:tc>
          <w:tcPr>
            <w:tcW w:w="98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spacing w:lineRule="auto" w:line="240" w:before="0" w:after="0"/>
              <w:ind w:left="0" w:hanging="0"/>
              <w:jc w:val="center"/>
              <w:rPr>
                <w:rFonts w:ascii="Calibri" w:hAnsi="Calibri" w:cs="Calibri" w:asciiTheme="minorHAnsi" w:cstheme="minorHAnsi" w:hAnsiTheme="minorHAnsi"/>
                <w:sz w:val="24"/>
                <w:szCs w:val="24"/>
              </w:rPr>
            </w:pPr>
            <w:r>
              <w:rPr>
                <w:rFonts w:cs="Calibri" w:cstheme="minorHAnsi"/>
                <w:color w:val="000000"/>
                <w:sz w:val="24"/>
                <w:szCs w:val="24"/>
              </w:rPr>
              <w:t>1</w:t>
            </w:r>
          </w:p>
        </w:tc>
        <w:tc>
          <w:tcPr>
            <w:tcW w:w="15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spacing w:lineRule="auto" w:line="240" w:before="0" w:after="0"/>
              <w:ind w:left="0" w:hanging="0"/>
              <w:rPr>
                <w:rFonts w:ascii="Calibri" w:hAnsi="Calibri" w:cs="Calibri" w:asciiTheme="minorHAnsi" w:cstheme="minorHAnsi" w:hAnsiTheme="minorHAnsi"/>
                <w:sz w:val="24"/>
                <w:szCs w:val="24"/>
              </w:rPr>
            </w:pPr>
            <w:bookmarkStart w:id="0" w:name="_Hlk137681217"/>
            <w:r>
              <w:rPr>
                <w:rFonts w:cs="Calibri" w:cstheme="minorHAnsi"/>
                <w:color w:val="000000"/>
                <w:sz w:val="24"/>
                <w:szCs w:val="24"/>
              </w:rPr>
              <w:t>R$ 61.508,82</w:t>
            </w:r>
            <w:bookmarkStart w:id="1" w:name="_Hlk137681736"/>
            <w:bookmarkEnd w:id="0"/>
            <w:bookmarkEnd w:id="1"/>
          </w:p>
        </w:tc>
      </w:tr>
    </w:tbl>
    <w:p>
      <w:pPr>
        <w:pStyle w:val="ListParagraph"/>
        <w:spacing w:lineRule="auto" w:line="240" w:before="0" w:after="0"/>
        <w:ind w:left="432" w:hanging="357"/>
        <w:contextualSpacing/>
        <w:jc w:val="both"/>
        <w:rPr>
          <w:rFonts w:ascii="Calibri" w:hAnsi="Calibri" w:cs="Calibri" w:asciiTheme="minorHAnsi" w:cstheme="minorHAnsi" w:hAnsiTheme="minorHAnsi"/>
          <w:szCs w:val="24"/>
        </w:rPr>
      </w:pPr>
      <w:r>
        <w:rPr>
          <w:rFonts w:cs="Calibri" w:cstheme="minorHAnsi"/>
          <w:szCs w:val="24"/>
        </w:rPr>
      </w:r>
    </w:p>
    <w:p>
      <w:pPr>
        <w:pStyle w:val="ListParagraph"/>
        <w:numPr>
          <w:ilvl w:val="1"/>
          <w:numId w:val="2"/>
        </w:numPr>
        <w:spacing w:lineRule="auto" w:line="240" w:before="0" w:after="0"/>
        <w:contextualSpacing/>
        <w:jc w:val="both"/>
        <w:rPr>
          <w:rFonts w:ascii="Calibri" w:hAnsi="Calibri" w:cs="Calibri" w:asciiTheme="minorHAnsi" w:cstheme="minorHAnsi" w:hAnsiTheme="minorHAnsi"/>
          <w:szCs w:val="24"/>
        </w:rPr>
      </w:pPr>
      <w:r>
        <w:rPr>
          <w:rFonts w:cs="Calibri" w:cstheme="minorHAnsi"/>
          <w:color w:val="000000"/>
          <w:szCs w:val="24"/>
        </w:rPr>
        <w:t>O prazo de vigência da contratação é de 360 (trezentos e sessenta) dia</w:t>
      </w:r>
      <w:r>
        <w:rPr>
          <w:rFonts w:cs="Calibri" w:cstheme="minorHAnsi"/>
          <w:szCs w:val="24"/>
        </w:rPr>
        <w:t>s, conforme cronograma físico-financeiro, anexo deste Termo de Referência,</w:t>
      </w:r>
      <w:r>
        <w:rPr>
          <w:rFonts w:cs="Calibri" w:cstheme="minorHAnsi"/>
          <w:color w:val="000000"/>
          <w:szCs w:val="24"/>
        </w:rPr>
        <w:t xml:space="preserve"> contados da data da assinatura do instrumento contratual, na forma do artigo 105 da Lei n° 14.133/2021.</w:t>
      </w:r>
    </w:p>
    <w:p>
      <w:pPr>
        <w:pStyle w:val="ListParagraph"/>
        <w:numPr>
          <w:ilvl w:val="1"/>
          <w:numId w:val="2"/>
        </w:numPr>
        <w:spacing w:lineRule="auto" w:line="240" w:before="0" w:after="0"/>
        <w:contextualSpacing/>
        <w:jc w:val="both"/>
        <w:rPr>
          <w:rFonts w:ascii="Calibri" w:hAnsi="Calibri" w:cs="Calibri" w:asciiTheme="minorHAnsi" w:cstheme="minorHAnsi" w:hAnsiTheme="minorHAnsi"/>
          <w:szCs w:val="24"/>
        </w:rPr>
      </w:pPr>
      <w:r>
        <w:rPr>
          <w:rFonts w:cs="Calibri" w:cstheme="minorHAnsi"/>
          <w:color w:val="000000"/>
          <w:szCs w:val="24"/>
        </w:rPr>
        <w:t>O custo estimado total da contratação é de R$ 61.508,82 (sessenta e um mil quinhentos e oito reais e oitenta e dois centavos).</w:t>
      </w:r>
    </w:p>
    <w:p>
      <w:pPr>
        <w:pStyle w:val="ListParagraph"/>
        <w:numPr>
          <w:ilvl w:val="1"/>
          <w:numId w:val="2"/>
        </w:numPr>
        <w:spacing w:lineRule="auto" w:line="240" w:before="0" w:after="0"/>
        <w:contextualSpacing/>
        <w:jc w:val="both"/>
        <w:rPr>
          <w:rFonts w:ascii="Calibri" w:hAnsi="Calibri" w:cs="Calibri" w:asciiTheme="minorHAnsi" w:cstheme="minorHAnsi" w:hAnsiTheme="minorHAnsi"/>
          <w:szCs w:val="24"/>
        </w:rPr>
      </w:pPr>
      <w:r>
        <w:rPr>
          <w:rFonts w:cs="Calibri" w:cstheme="minorHAnsi"/>
          <w:color w:val="000000"/>
          <w:szCs w:val="24"/>
        </w:rPr>
        <w:t>Ressalvado o objeto ou parte dele sujeito ao regime de empreitada por preço unitário, o critério de aceitabilidade de preços será o valor global estimado para a contratação.</w:t>
      </w:r>
    </w:p>
    <w:p>
      <w:pPr>
        <w:pStyle w:val="ListParagraph"/>
        <w:numPr>
          <w:ilvl w:val="1"/>
          <w:numId w:val="2"/>
        </w:numPr>
        <w:spacing w:lineRule="auto" w:line="240" w:before="0" w:after="0"/>
        <w:contextualSpacing/>
        <w:jc w:val="both"/>
        <w:rPr>
          <w:rFonts w:ascii="Calibri" w:hAnsi="Calibri" w:cs="Calibri" w:asciiTheme="minorHAnsi" w:cstheme="minorHAnsi" w:hAnsiTheme="minorHAnsi"/>
          <w:szCs w:val="24"/>
        </w:rPr>
      </w:pPr>
      <w:r>
        <w:rPr>
          <w:rFonts w:cs="Calibri" w:cstheme="minorHAnsi"/>
          <w:color w:val="000000"/>
          <w:szCs w:val="24"/>
        </w:rPr>
        <w:t>O proponente, ou, havendo dispensa eletrônica, aquele que estiver mais bem colocado na disputa, deverá apresentar à Administração, por meio eletrônico, planilha que contenha o preço global, os quantitativos e os preços unitários tidos como relevantes, conforme modelo de planilha elaborada pela Administração, para efeito de avaliação de exequibilidade (art. 59, §3º, da Lei nº 14.133/2021);</w:t>
      </w:r>
    </w:p>
    <w:p>
      <w:pPr>
        <w:pStyle w:val="ListParagraph"/>
        <w:spacing w:lineRule="auto" w:line="240" w:before="0" w:after="0"/>
        <w:ind w:left="432" w:hanging="357"/>
        <w:contextualSpacing/>
        <w:jc w:val="both"/>
        <w:rPr>
          <w:rFonts w:ascii="Calibri" w:hAnsi="Calibri" w:cs="Calibri" w:asciiTheme="minorHAnsi" w:cstheme="minorHAnsi" w:hAnsiTheme="minorHAnsi"/>
          <w:i/>
          <w:i/>
          <w:color w:val="FF0000"/>
          <w:szCs w:val="24"/>
        </w:rPr>
      </w:pPr>
      <w:r>
        <w:rPr>
          <w:rFonts w:cs="Calibri" w:cstheme="minorHAnsi"/>
          <w:i/>
          <w:color w:val="FF0000"/>
          <w:szCs w:val="24"/>
        </w:rPr>
      </w:r>
    </w:p>
    <w:p>
      <w:pPr>
        <w:pStyle w:val="Nivel1"/>
        <w:keepNext w:val="true"/>
        <w:keepLines/>
        <w:widowControl/>
        <w:numPr>
          <w:ilvl w:val="0"/>
          <w:numId w:val="0"/>
        </w:numPr>
        <w:suppressAutoHyphens w:val="true"/>
        <w:bidi w:val="0"/>
        <w:spacing w:lineRule="auto" w:line="240" w:before="0" w:after="0"/>
        <w:ind w:left="567" w:right="0" w:hanging="0"/>
        <w:jc w:val="both"/>
        <w:rPr/>
      </w:pPr>
      <w:r>
        <w:rPr>
          <w:rFonts w:cs="Calibri" w:cstheme="minorHAnsi"/>
          <w:szCs w:val="24"/>
        </w:rPr>
        <w:t>2</w:t>
        <w:tab/>
        <w:t xml:space="preserve">    FUNDAMENTAÇÃO E DESCRIÇÃO DA NECESSIDADE DA CONTRATAÇÃO (art. 6º, </w:t>
        <w:tab/>
        <w:tab/>
        <w:tab/>
        <w:t xml:space="preserve">    inciso </w:t>
        <w:tab/>
        <w:t>XXIII, alínea ‘b’ da Lei n. 14.133/2021).</w:t>
      </w:r>
    </w:p>
    <w:p>
      <w:pPr>
        <w:pStyle w:val="ListParagraph"/>
        <w:numPr>
          <w:ilvl w:val="1"/>
          <w:numId w:val="3"/>
        </w:numPr>
        <w:spacing w:lineRule="auto" w:line="240" w:before="0" w:after="0"/>
        <w:contextualSpacing/>
        <w:jc w:val="both"/>
        <w:rPr>
          <w:rFonts w:ascii="Calibri" w:hAnsi="Calibri" w:cs="Calibri" w:asciiTheme="minorHAnsi" w:cstheme="minorHAnsi" w:hAnsiTheme="minorHAnsi"/>
          <w:szCs w:val="24"/>
        </w:rPr>
      </w:pPr>
      <w:r>
        <w:rPr>
          <w:rFonts w:cs="Calibri" w:cstheme="minorHAnsi"/>
          <w:szCs w:val="24"/>
        </w:rPr>
        <w:t>A fundamentação da contratação e seus quantitativos encontra-se pormenorizada em tópico específico dos Estudos Técnicos Preliminares, apêndice deste Termo de Referência.</w:t>
      </w:r>
    </w:p>
    <w:p>
      <w:pPr>
        <w:pStyle w:val="Normal"/>
        <w:spacing w:lineRule="auto" w:line="240" w:before="0" w:after="0"/>
        <w:jc w:val="both"/>
        <w:rPr>
          <w:rFonts w:ascii="Calibri" w:hAnsi="Calibri" w:cs="Calibri" w:asciiTheme="minorHAnsi" w:cstheme="minorHAnsi" w:hAnsiTheme="minorHAnsi"/>
          <w:szCs w:val="24"/>
        </w:rPr>
      </w:pPr>
      <w:r>
        <w:rPr>
          <w:rFonts w:cs="Calibri" w:cstheme="minorHAnsi"/>
          <w:szCs w:val="24"/>
        </w:rPr>
      </w:r>
    </w:p>
    <w:p>
      <w:pPr>
        <w:pStyle w:val="Nivel1"/>
        <w:numPr>
          <w:ilvl w:val="0"/>
          <w:numId w:val="3"/>
        </w:numPr>
        <w:spacing w:lineRule="auto" w:line="240" w:before="0" w:after="0"/>
        <w:rPr>
          <w:rFonts w:ascii="Calibri" w:hAnsi="Calibri" w:eastAsia="Calibri" w:cs="Calibri" w:asciiTheme="minorHAnsi" w:cstheme="minorHAnsi" w:hAnsiTheme="minorHAnsi"/>
          <w:color w:val="auto"/>
          <w:szCs w:val="24"/>
        </w:rPr>
      </w:pPr>
      <w:r>
        <w:rPr>
          <w:rFonts w:eastAsia="Calibri" w:cs="Calibri" w:cstheme="minorHAnsi"/>
          <w:bCs/>
          <w:color w:val="auto"/>
          <w:szCs w:val="24"/>
        </w:rPr>
        <w:t>DESCRIÇÃO DA SOLUÇÃO COMO UM TODO CONSIDERADO O CICLO DE VIDA DO OBJETO (art. 6º, inciso XXIII, alínea ‘c’, da Lei n. 14.133/2021).</w:t>
      </w:r>
    </w:p>
    <w:p>
      <w:pPr>
        <w:pStyle w:val="Nivel1"/>
        <w:numPr>
          <w:ilvl w:val="1"/>
          <w:numId w:val="3"/>
        </w:numPr>
        <w:spacing w:lineRule="auto" w:line="240" w:before="0" w:after="0"/>
        <w:rPr>
          <w:rFonts w:ascii="Calibri" w:hAnsi="Calibri" w:eastAsia="Calibri" w:cs="Calibri" w:asciiTheme="minorHAnsi" w:cstheme="minorHAnsi" w:hAnsiTheme="minorHAnsi"/>
          <w:b w:val="false"/>
          <w:b w:val="false"/>
          <w:color w:val="auto"/>
          <w:szCs w:val="24"/>
        </w:rPr>
      </w:pPr>
      <w:r>
        <w:rPr>
          <w:rFonts w:cs="Calibri" w:cstheme="minorHAnsi"/>
          <w:b w:val="false"/>
          <w:szCs w:val="24"/>
        </w:rPr>
        <w:t>A descrição da solução como um todo encontra-se pormenorizada em tópico específico dos Estudos Técnicos Preliminares, apêndice deste Termo de Referência.</w:t>
      </w:r>
    </w:p>
    <w:p>
      <w:pPr>
        <w:pStyle w:val="Normal"/>
        <w:spacing w:lineRule="auto" w:line="240" w:before="0" w:after="0"/>
        <w:jc w:val="both"/>
        <w:rPr>
          <w:rFonts w:ascii="Calibri" w:hAnsi="Calibri" w:cs="Calibri" w:asciiTheme="minorHAnsi" w:cstheme="minorHAnsi" w:hAnsiTheme="minorHAnsi"/>
          <w:sz w:val="24"/>
          <w:szCs w:val="24"/>
        </w:rPr>
      </w:pPr>
      <w:r>
        <w:rPr>
          <w:rFonts w:cs="Calibri" w:cstheme="minorHAnsi"/>
          <w:sz w:val="24"/>
          <w:szCs w:val="24"/>
        </w:rPr>
      </w:r>
    </w:p>
    <w:p>
      <w:pPr>
        <w:pStyle w:val="Nivel1"/>
        <w:numPr>
          <w:ilvl w:val="0"/>
          <w:numId w:val="3"/>
        </w:numPr>
        <w:spacing w:lineRule="auto" w:line="240" w:before="0" w:after="0"/>
        <w:rPr>
          <w:rFonts w:ascii="Calibri" w:hAnsi="Calibri" w:eastAsia="Calibri" w:cs="Calibri" w:asciiTheme="minorHAnsi" w:cstheme="minorHAnsi" w:hAnsiTheme="minorHAnsi"/>
          <w:bCs/>
          <w:color w:val="auto"/>
          <w:szCs w:val="24"/>
        </w:rPr>
      </w:pPr>
      <w:r>
        <w:rPr>
          <w:rFonts w:eastAsia="Calibri" w:cs="Calibri" w:cstheme="minorHAnsi"/>
          <w:bCs/>
          <w:color w:val="auto"/>
          <w:szCs w:val="24"/>
        </w:rPr>
        <w:t>REQUISITOS DA CONTRATAÇÃO (art. 6º, XXIII, alínea ‘d’ da Lei nº 14.133/21)</w:t>
      </w:r>
    </w:p>
    <w:p>
      <w:pPr>
        <w:pStyle w:val="ListParagraph"/>
        <w:numPr>
          <w:ilvl w:val="1"/>
          <w:numId w:val="4"/>
        </w:numPr>
        <w:spacing w:lineRule="auto" w:line="240" w:before="0" w:after="0"/>
        <w:contextualSpacing/>
        <w:jc w:val="both"/>
        <w:rPr>
          <w:rFonts w:ascii="Calibri" w:hAnsi="Calibri" w:cs="Calibri" w:asciiTheme="minorHAnsi" w:cstheme="minorHAnsi" w:hAnsiTheme="minorHAnsi"/>
          <w:szCs w:val="24"/>
        </w:rPr>
      </w:pPr>
      <w:r>
        <w:rPr>
          <w:rFonts w:cs="Calibri" w:cstheme="minorHAnsi"/>
          <w:szCs w:val="24"/>
        </w:rPr>
        <w:t>Além dos critérios de sustentabilidade eventualmente inseridos na descrição do objeto, devem ser atendidos os seguintes requisitos, que se baseiam no Guia Nacional de Contratações Sustentáveis:</w:t>
      </w:r>
    </w:p>
    <w:p>
      <w:pPr>
        <w:pStyle w:val="Nivel2"/>
        <w:numPr>
          <w:ilvl w:val="2"/>
          <w:numId w:val="4"/>
        </w:numPr>
        <w:spacing w:lineRule="auto" w:line="240" w:before="0" w:after="0"/>
        <w:ind w:left="714" w:hanging="357"/>
        <w:rPr/>
      </w:pPr>
      <w:r>
        <w:rPr>
          <w:rFonts w:cs="Calibri" w:cstheme="minorHAnsi"/>
          <w:szCs w:val="24"/>
        </w:rPr>
        <w:t>Critérios de sustentabilidade são os métodos utilizados para avaliação e comparação de bens, materiais ou serviços em função do seu impacto ambiental, social e econômico.</w:t>
      </w:r>
    </w:p>
    <w:p>
      <w:pPr>
        <w:pStyle w:val="Nivel2"/>
        <w:numPr>
          <w:ilvl w:val="2"/>
          <w:numId w:val="4"/>
        </w:numPr>
        <w:spacing w:lineRule="auto" w:line="240" w:before="0" w:after="0"/>
        <w:ind w:left="714" w:hanging="357"/>
        <w:rPr/>
      </w:pPr>
      <w:r>
        <w:rPr>
          <w:rFonts w:cs="Calibri" w:cstheme="minorHAnsi"/>
          <w:szCs w:val="24"/>
        </w:rPr>
        <w:t>A CONTRATADA deverá, na prestação dos serviços, atender a legislação e normas vigentes quanto à garantia da aplicação dos requisitos mínimos de qualidade, utilidade, resistência e segurança dos materiais utilizados.</w:t>
      </w:r>
    </w:p>
    <w:p>
      <w:pPr>
        <w:pStyle w:val="Nivel2"/>
        <w:numPr>
          <w:ilvl w:val="2"/>
          <w:numId w:val="4"/>
        </w:numPr>
        <w:spacing w:lineRule="auto" w:line="240" w:before="0" w:after="0"/>
        <w:ind w:left="714" w:hanging="357"/>
        <w:rPr/>
      </w:pPr>
      <w:r>
        <w:rPr>
          <w:rFonts w:cs="Calibri" w:cstheme="minorHAnsi"/>
          <w:szCs w:val="24"/>
        </w:rPr>
        <w:t>A CONTRATADA deverá obedecer aos critérios de sustentabilidade conforme determina o Decreto nº 7.746/2012 e suas alterações), na Lei nº 12.305/10 – Política Nacional de Resíduos Sólidos, na Instrução Normativa SLTI/MP n° 01, de 2010, Guia Nacional de Licitações Sustentáveis da AGU, legislações ambientais e no que couber para realizar a prestação dos serviços contratados.</w:t>
      </w:r>
    </w:p>
    <w:p>
      <w:pPr>
        <w:pStyle w:val="Nivel2"/>
        <w:numPr>
          <w:ilvl w:val="2"/>
          <w:numId w:val="4"/>
        </w:numPr>
        <w:spacing w:lineRule="auto" w:line="240" w:before="0" w:after="0"/>
        <w:ind w:left="714" w:hanging="357"/>
        <w:rPr>
          <w:rFonts w:ascii="Calibri" w:hAnsi="Calibri" w:cs="Calibri" w:asciiTheme="minorHAnsi" w:cstheme="minorHAnsi" w:hAnsiTheme="minorHAnsi"/>
          <w:szCs w:val="24"/>
        </w:rPr>
      </w:pPr>
      <w:r>
        <w:rPr>
          <w:rFonts w:cs="Calibri" w:cstheme="minorHAnsi"/>
          <w:szCs w:val="24"/>
        </w:rPr>
        <w:t>É de total responsabilidade da CONTRATADA o cumprimento das normas ambientais vigentes para a execução dos serviços, especificamente na indicação de materiais e formas construtivas eventualmente constantes nos projetos e demais documentos a serem elaborados.</w:t>
      </w:r>
    </w:p>
    <w:p>
      <w:pPr>
        <w:pStyle w:val="Nivel2"/>
        <w:numPr>
          <w:ilvl w:val="2"/>
          <w:numId w:val="4"/>
        </w:numPr>
        <w:spacing w:lineRule="auto" w:line="240" w:before="0" w:after="0"/>
        <w:ind w:left="714" w:hanging="357"/>
        <w:rPr>
          <w:rFonts w:ascii="Calibri" w:hAnsi="Calibri" w:cs="Calibri" w:asciiTheme="minorHAnsi" w:cstheme="minorHAnsi" w:hAnsiTheme="minorHAnsi"/>
          <w:szCs w:val="24"/>
        </w:rPr>
      </w:pPr>
      <w:r>
        <w:rPr>
          <w:rFonts w:cs="Calibri" w:cstheme="minorHAnsi"/>
          <w:szCs w:val="24"/>
        </w:rPr>
        <w:t>A CONTRATADA deverá tomar todos os cuidados necessários para que da prestação dos seus serviços não decorra qualquer degradação ao meio ambiente.</w:t>
      </w:r>
    </w:p>
    <w:p>
      <w:pPr>
        <w:pStyle w:val="Nivel2"/>
        <w:numPr>
          <w:ilvl w:val="2"/>
          <w:numId w:val="4"/>
        </w:numPr>
        <w:spacing w:lineRule="auto" w:line="240" w:before="0" w:after="0"/>
        <w:ind w:left="714" w:hanging="357"/>
        <w:rPr>
          <w:rFonts w:ascii="Calibri" w:hAnsi="Calibri" w:cs="Calibri" w:asciiTheme="minorHAnsi" w:cstheme="minorHAnsi" w:hAnsiTheme="minorHAnsi"/>
          <w:szCs w:val="24"/>
        </w:rPr>
      </w:pPr>
      <w:r>
        <w:rPr>
          <w:rFonts w:cs="Calibri" w:cstheme="minorHAnsi"/>
          <w:szCs w:val="24"/>
        </w:rPr>
        <w:t>Adoção, na medida do possível, do design sustentável, priorizando a qualidade de vida dos usuários, inclusão e economia no consumo de energia e água.</w:t>
      </w:r>
    </w:p>
    <w:p>
      <w:pPr>
        <w:pStyle w:val="Nivel2"/>
        <w:numPr>
          <w:ilvl w:val="2"/>
          <w:numId w:val="4"/>
        </w:numPr>
        <w:spacing w:lineRule="auto" w:line="240" w:before="0" w:after="0"/>
        <w:ind w:left="714" w:hanging="357"/>
        <w:rPr>
          <w:rFonts w:ascii="Calibri" w:hAnsi="Calibri" w:cs="Calibri" w:asciiTheme="minorHAnsi" w:cstheme="minorHAnsi" w:hAnsiTheme="minorHAnsi"/>
          <w:szCs w:val="24"/>
        </w:rPr>
      </w:pPr>
      <w:r>
        <w:rPr>
          <w:rFonts w:cs="Calibri" w:cstheme="minorHAnsi"/>
          <w:szCs w:val="24"/>
        </w:rPr>
        <w:t>Atendimento, no que couber, dos demais critérios de sustentabilidade nas áreas ambiental, econômica e social.</w:t>
      </w:r>
    </w:p>
    <w:p>
      <w:pPr>
        <w:pStyle w:val="ListParagraph"/>
        <w:numPr>
          <w:ilvl w:val="1"/>
          <w:numId w:val="8"/>
        </w:numPr>
        <w:spacing w:lineRule="auto" w:line="240" w:before="0" w:after="0"/>
        <w:contextualSpacing/>
        <w:jc w:val="both"/>
        <w:rPr>
          <w:rFonts w:ascii="Calibri" w:hAnsi="Calibri" w:cs="Calibri" w:asciiTheme="minorHAnsi" w:cstheme="minorHAnsi" w:hAnsiTheme="minorHAnsi"/>
          <w:color w:val="000000"/>
          <w:szCs w:val="24"/>
        </w:rPr>
      </w:pPr>
      <w:r>
        <w:rPr>
          <w:rFonts w:cs="Calibri" w:cstheme="minorHAnsi"/>
          <w:szCs w:val="24"/>
        </w:rPr>
        <w:t>É permitida a subcontratação parcial do objeto, até o limite de 50% (cinquenta por cento) do valor total do contrato, nas seguintes condições:</w:t>
      </w:r>
    </w:p>
    <w:p>
      <w:pPr>
        <w:pStyle w:val="ListParagraph"/>
        <w:numPr>
          <w:ilvl w:val="2"/>
          <w:numId w:val="8"/>
        </w:numPr>
        <w:spacing w:lineRule="auto" w:line="240" w:before="0" w:after="0"/>
        <w:ind w:left="714" w:hanging="357"/>
        <w:contextualSpacing/>
        <w:jc w:val="both"/>
        <w:rPr>
          <w:rFonts w:ascii="Calibri" w:hAnsi="Calibri" w:cs="Calibri" w:asciiTheme="minorHAnsi" w:cstheme="minorHAnsi" w:hAnsiTheme="minorHAnsi"/>
          <w:color w:val="000000"/>
          <w:szCs w:val="24"/>
        </w:rPr>
      </w:pPr>
      <w:r>
        <w:rPr>
          <w:rFonts w:cs="Calibri" w:cstheme="minorHAnsi"/>
          <w:szCs w:val="24"/>
        </w:rPr>
        <w:t xml:space="preserve">É vedada a subcontratação da parcela principal da obrigação, a qual consiste nas seguintes atividades: elaboração dos projetos arquitetônicos, memoriais descritivos, </w:t>
      </w:r>
      <w:r>
        <w:rPr>
          <w:rFonts w:cs="Calibri" w:cstheme="minorHAnsi"/>
          <w:color w:val="000000"/>
          <w:szCs w:val="24"/>
        </w:rPr>
        <w:t>acessibilidade</w:t>
      </w:r>
      <w:r>
        <w:rPr>
          <w:rFonts w:cs="Calibri" w:cstheme="minorHAnsi"/>
          <w:szCs w:val="24"/>
        </w:rPr>
        <w:t xml:space="preserve"> e coordenação e compatibilização dos Projetos. A elaboração dos projetos complementares, orçamentação (incluindo mapa de cotações, composição de custos, curva ABC, cronograma físico-financeiro, etc) são atividades passíveis de subcontratação.</w:t>
      </w:r>
    </w:p>
    <w:p>
      <w:pPr>
        <w:pStyle w:val="ListParagraph"/>
        <w:numPr>
          <w:ilvl w:val="2"/>
          <w:numId w:val="8"/>
        </w:numPr>
        <w:spacing w:lineRule="auto" w:line="240" w:before="0" w:after="0"/>
        <w:ind w:left="714" w:hanging="357"/>
        <w:contextualSpacing/>
        <w:jc w:val="both"/>
        <w:rPr>
          <w:rFonts w:ascii="Calibri" w:hAnsi="Calibri" w:cs="Calibri" w:asciiTheme="minorHAnsi" w:cstheme="minorHAnsi" w:hAnsiTheme="minorHAnsi"/>
          <w:szCs w:val="24"/>
        </w:rPr>
      </w:pPr>
      <w:r>
        <w:rPr>
          <w:rFonts w:cs="Calibri" w:cstheme="minorHAnsi"/>
          <w:szCs w:val="24"/>
        </w:rPr>
        <w:t>A subcontratação depende de autorização prévia da CONTRATANTE, a quem incumbe avaliar se a subcontratada cumpre os requisitos de qualificação técnica necessários para a execução do objeto.</w:t>
      </w:r>
    </w:p>
    <w:p>
      <w:pPr>
        <w:pStyle w:val="ListParagraph"/>
        <w:numPr>
          <w:ilvl w:val="2"/>
          <w:numId w:val="8"/>
        </w:numPr>
        <w:spacing w:lineRule="auto" w:line="240" w:before="0" w:after="0"/>
        <w:ind w:left="714" w:hanging="357"/>
        <w:contextualSpacing/>
        <w:jc w:val="both"/>
        <w:rPr>
          <w:rFonts w:ascii="Calibri" w:hAnsi="Calibri" w:cs="Calibri" w:asciiTheme="minorHAnsi" w:cstheme="minorHAnsi" w:hAnsiTheme="minorHAnsi"/>
          <w:szCs w:val="24"/>
        </w:rPr>
      </w:pPr>
      <w:r>
        <w:rPr>
          <w:rFonts w:cs="Calibri" w:cstheme="minorHAnsi"/>
          <w:szCs w:val="24"/>
        </w:rPr>
        <w:t>Em qualquer hipótese de subcontratação, permanece a responsabilidade integral da CONTRATADA pela perfeita execução contratual, cabendo-lhe realizar a supervisão e coordenação das atividades da subcontratada, bem como responder perante a CONTRATANTE pelo rigoroso cumprimento das obrigações contratuais correspondentes ao objeto da subcontratação. Todos os profissionais responsáveis pelas elaborações de projetos, sejam eles vinculados diretamente à empresa CONTRATADA ou mediante subcontratação, deverão apresentar as respectivas Anotações de Responsabilidade Técnicas (ARTs) ou Registros de Responsabilidade Técnica (RRTs).</w:t>
      </w:r>
    </w:p>
    <w:p>
      <w:pPr>
        <w:pStyle w:val="ListParagraph"/>
        <w:numPr>
          <w:ilvl w:val="1"/>
          <w:numId w:val="8"/>
        </w:numPr>
        <w:spacing w:lineRule="auto" w:line="240" w:before="0" w:after="0"/>
        <w:contextualSpacing/>
        <w:jc w:val="both"/>
        <w:rPr>
          <w:rFonts w:ascii="Calibri" w:hAnsi="Calibri" w:cs="Calibri" w:asciiTheme="minorHAnsi" w:cstheme="minorHAnsi" w:hAnsiTheme="minorHAnsi"/>
          <w:szCs w:val="24"/>
        </w:rPr>
      </w:pPr>
      <w:r>
        <w:rPr>
          <w:rFonts w:cs="Calibri" w:cstheme="minorHAnsi"/>
          <w:szCs w:val="24"/>
        </w:rPr>
        <w:t>Não haverá exigência da garantia da contratação dos arts. 96 e seguintes da Lei nº 14.133/21, pelas razões abaixo justificadas:</w:t>
      </w:r>
    </w:p>
    <w:p>
      <w:pPr>
        <w:pStyle w:val="ListParagraph"/>
        <w:numPr>
          <w:ilvl w:val="2"/>
          <w:numId w:val="8"/>
        </w:numPr>
        <w:spacing w:lineRule="auto" w:line="240" w:before="0" w:after="0"/>
        <w:ind w:left="714" w:hanging="357"/>
        <w:contextualSpacing/>
        <w:jc w:val="both"/>
        <w:rPr>
          <w:rFonts w:ascii="Calibri" w:hAnsi="Calibri" w:cs="Calibri" w:asciiTheme="minorHAnsi" w:cstheme="minorHAnsi" w:hAnsiTheme="minorHAnsi"/>
          <w:szCs w:val="24"/>
        </w:rPr>
      </w:pPr>
      <w:r>
        <w:rPr>
          <w:rFonts w:cs="Calibri" w:cstheme="minorHAnsi"/>
          <w:szCs w:val="24"/>
        </w:rPr>
        <w:t>Trata-se de serviço de natureza intelectual com possibilidade remota de causar danos financeiros significativos à Administração.</w:t>
      </w:r>
    </w:p>
    <w:p>
      <w:pPr>
        <w:pStyle w:val="ListParagraph"/>
        <w:numPr>
          <w:ilvl w:val="2"/>
          <w:numId w:val="8"/>
        </w:numPr>
        <w:spacing w:lineRule="auto" w:line="240" w:before="0" w:after="0"/>
        <w:ind w:left="714" w:hanging="357"/>
        <w:contextualSpacing/>
        <w:jc w:val="both"/>
        <w:rPr>
          <w:rFonts w:ascii="Calibri" w:hAnsi="Calibri" w:cs="Calibri" w:asciiTheme="minorHAnsi" w:cstheme="minorHAnsi" w:hAnsiTheme="minorHAnsi"/>
          <w:szCs w:val="24"/>
        </w:rPr>
      </w:pPr>
      <w:r>
        <w:rPr>
          <w:rFonts w:cs="Calibri" w:cstheme="minorHAnsi"/>
          <w:szCs w:val="24"/>
        </w:rPr>
        <w:t>O Objeto sofrerá diversas avaliações antes de sua entrega final. Essas avaliações são condicionantes para o pagamento de cada etapa, já configurando uma espécie de garantia para a administração.</w:t>
      </w:r>
    </w:p>
    <w:p>
      <w:pPr>
        <w:pStyle w:val="Normal"/>
        <w:spacing w:lineRule="auto" w:line="240" w:before="0" w:after="0"/>
        <w:jc w:val="both"/>
        <w:rPr>
          <w:rFonts w:ascii="Calibri" w:hAnsi="Calibri" w:cs="Calibri" w:asciiTheme="minorHAnsi" w:cstheme="minorHAnsi" w:hAnsiTheme="minorHAnsi"/>
          <w:sz w:val="24"/>
          <w:szCs w:val="24"/>
        </w:rPr>
      </w:pPr>
      <w:r>
        <w:rPr>
          <w:rFonts w:cs="Calibri" w:cstheme="minorHAnsi"/>
          <w:sz w:val="24"/>
          <w:szCs w:val="24"/>
        </w:rPr>
      </w:r>
    </w:p>
    <w:p>
      <w:pPr>
        <w:pStyle w:val="Nivel1"/>
        <w:numPr>
          <w:ilvl w:val="0"/>
          <w:numId w:val="3"/>
        </w:numPr>
        <w:spacing w:lineRule="auto" w:line="240" w:before="0" w:after="0"/>
        <w:rPr>
          <w:rFonts w:ascii="Calibri" w:hAnsi="Calibri" w:cs="Calibri" w:asciiTheme="minorHAnsi" w:cstheme="minorHAnsi" w:hAnsiTheme="minorHAnsi"/>
          <w:szCs w:val="24"/>
        </w:rPr>
      </w:pPr>
      <w:r>
        <w:rPr>
          <w:rFonts w:cs="Calibri" w:cstheme="minorHAnsi"/>
          <w:szCs w:val="24"/>
        </w:rPr>
        <w:t>VISTORIA</w:t>
      </w:r>
    </w:p>
    <w:p>
      <w:pPr>
        <w:pStyle w:val="Nivel2"/>
        <w:numPr>
          <w:ilvl w:val="1"/>
          <w:numId w:val="5"/>
        </w:numPr>
        <w:spacing w:lineRule="auto" w:line="240" w:before="0" w:after="0"/>
        <w:rPr>
          <w:rFonts w:ascii="Calibri" w:hAnsi="Calibri" w:cs="Calibri" w:asciiTheme="minorHAnsi" w:cstheme="minorHAnsi" w:hAnsiTheme="minorHAnsi"/>
          <w:szCs w:val="24"/>
        </w:rPr>
      </w:pPr>
      <w:r>
        <w:rPr>
          <w:rFonts w:cs="Calibri" w:cstheme="minorHAnsi"/>
          <w:szCs w:val="24"/>
        </w:rPr>
        <w:t>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09:00 horas às 15:00 horas.</w:t>
      </w:r>
    </w:p>
    <w:p>
      <w:pPr>
        <w:pStyle w:val="ListParagraph"/>
        <w:numPr>
          <w:ilvl w:val="1"/>
          <w:numId w:val="5"/>
        </w:numPr>
        <w:spacing w:lineRule="auto" w:line="240" w:before="0" w:after="0"/>
        <w:contextualSpacing/>
        <w:jc w:val="both"/>
        <w:rPr>
          <w:rFonts w:ascii="Calibri" w:hAnsi="Calibri" w:cs="Calibri" w:asciiTheme="minorHAnsi" w:cstheme="minorHAnsi" w:hAnsiTheme="minorHAnsi"/>
          <w:szCs w:val="24"/>
        </w:rPr>
      </w:pPr>
      <w:r>
        <w:rPr>
          <w:rFonts w:cs="Calibri" w:cstheme="minorHAnsi"/>
          <w:color w:val="000000"/>
          <w:szCs w:val="24"/>
        </w:rPr>
        <w:t>Serão disponibilizados data e horário diferentes aos interessados em realizar a vistoria prévia.</w:t>
      </w:r>
    </w:p>
    <w:p>
      <w:pPr>
        <w:pStyle w:val="Nivel2"/>
        <w:numPr>
          <w:ilvl w:val="2"/>
          <w:numId w:val="5"/>
        </w:numPr>
        <w:spacing w:lineRule="auto" w:line="240" w:before="0" w:after="0"/>
        <w:ind w:left="714" w:hanging="357"/>
        <w:rPr>
          <w:rFonts w:ascii="Calibri" w:hAnsi="Calibri" w:cs="Calibri" w:asciiTheme="minorHAnsi" w:cstheme="minorHAnsi" w:hAnsiTheme="minorHAnsi"/>
          <w:szCs w:val="24"/>
        </w:rPr>
      </w:pPr>
      <w:r>
        <w:rPr>
          <w:rFonts w:cs="Calibri" w:cstheme="minorHAnsi"/>
          <w:szCs w:val="24"/>
        </w:rPr>
        <w:t>Para a vistoria, o representante legal da empresa ou responsável técnico deverá estar devidamente identificado, apresentando documento de identidade civil e documento expedido pela empresa comprovando sua habilitação para a realização da vistoria.</w:t>
      </w:r>
    </w:p>
    <w:p>
      <w:pPr>
        <w:pStyle w:val="Nivel2"/>
        <w:numPr>
          <w:ilvl w:val="2"/>
          <w:numId w:val="5"/>
        </w:numPr>
        <w:spacing w:lineRule="auto" w:line="240" w:before="0" w:after="0"/>
        <w:ind w:left="714" w:hanging="357"/>
        <w:rPr/>
      </w:pPr>
      <w:r>
        <w:rPr>
          <w:rFonts w:cs="Calibri" w:cstheme="minorHAnsi"/>
          <w:szCs w:val="24"/>
        </w:rPr>
        <w:t xml:space="preserve">Previamente à vistoria, é necessário que as empresas enviem os dados de todos os visitantes (nome completo, identidade e CPF) e seus respectivos veículos (número da placa, cor e modelo) para os emails: </w:t>
      </w:r>
      <w:r>
        <w:rPr>
          <w:rFonts w:cs="Calibri" w:cstheme="minorHAnsi"/>
          <w:szCs w:val="24"/>
          <w:highlight w:val="white"/>
        </w:rPr>
        <w:t>henry.rios@marinha.mil.br e thales.almendro@marinha.mar.mil.</w:t>
      </w:r>
    </w:p>
    <w:p>
      <w:pPr>
        <w:pStyle w:val="Nivel2"/>
        <w:numPr>
          <w:ilvl w:val="2"/>
          <w:numId w:val="5"/>
        </w:numPr>
        <w:spacing w:lineRule="auto" w:line="240" w:before="0" w:after="0"/>
        <w:ind w:left="714" w:hanging="357"/>
        <w:rPr>
          <w:rFonts w:ascii="Calibri" w:hAnsi="Calibri" w:cs="Calibri" w:asciiTheme="minorHAnsi" w:cstheme="minorHAnsi" w:hAnsiTheme="minorHAnsi"/>
          <w:szCs w:val="24"/>
        </w:rPr>
      </w:pPr>
      <w:r>
        <w:rPr>
          <w:rFonts w:cs="Calibri" w:cstheme="minorHAnsi"/>
          <w:szCs w:val="24"/>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pPr>
        <w:pStyle w:val="Normal"/>
        <w:spacing w:lineRule="auto" w:line="240" w:before="0" w:after="0"/>
        <w:jc w:val="both"/>
        <w:rPr>
          <w:rFonts w:ascii="Calibri" w:hAnsi="Calibri" w:cs="Calibri" w:asciiTheme="minorHAnsi" w:cstheme="minorHAnsi" w:hAnsiTheme="minorHAnsi"/>
          <w:sz w:val="24"/>
          <w:szCs w:val="24"/>
        </w:rPr>
      </w:pPr>
      <w:r>
        <w:rPr>
          <w:rFonts w:cs="Calibri" w:cstheme="minorHAnsi"/>
          <w:sz w:val="24"/>
          <w:szCs w:val="24"/>
        </w:rPr>
      </w:r>
    </w:p>
    <w:p>
      <w:pPr>
        <w:pStyle w:val="Nivel1"/>
        <w:numPr>
          <w:ilvl w:val="0"/>
          <w:numId w:val="3"/>
        </w:numPr>
        <w:spacing w:lineRule="auto" w:line="240" w:before="0" w:after="0"/>
        <w:rPr>
          <w:rFonts w:ascii="Calibri" w:hAnsi="Calibri" w:cs="Calibri" w:asciiTheme="minorHAnsi" w:cstheme="minorHAnsi" w:hAnsiTheme="minorHAnsi"/>
          <w:szCs w:val="24"/>
        </w:rPr>
      </w:pPr>
      <w:r>
        <w:rPr>
          <w:rFonts w:cs="Calibri" w:cstheme="minorHAnsi"/>
          <w:szCs w:val="24"/>
        </w:rPr>
        <w:t>MODELO DE EXECUÇÃO CONTRATUAL (arts. 6º, XXIII, alínea “e” da Lei nº 14.133/2021).</w:t>
      </w:r>
    </w:p>
    <w:p>
      <w:pPr>
        <w:pStyle w:val="Nivel2"/>
        <w:numPr>
          <w:ilvl w:val="1"/>
          <w:numId w:val="6"/>
        </w:numPr>
        <w:spacing w:lineRule="auto" w:line="240" w:before="0" w:after="0"/>
        <w:rPr>
          <w:rFonts w:ascii="Calibri" w:hAnsi="Calibri" w:cs="Calibri" w:asciiTheme="minorHAnsi" w:cstheme="minorHAnsi" w:hAnsiTheme="minorHAnsi"/>
          <w:color w:val="auto"/>
          <w:szCs w:val="24"/>
        </w:rPr>
      </w:pPr>
      <w:r>
        <w:rPr>
          <w:rFonts w:cs="Calibri" w:cstheme="minorHAnsi"/>
          <w:szCs w:val="24"/>
        </w:rPr>
        <w:t>A execução do objeto seguirá a seguinte dinâmica:</w:t>
      </w:r>
    </w:p>
    <w:p>
      <w:pPr>
        <w:pStyle w:val="Nivel2"/>
        <w:numPr>
          <w:ilvl w:val="2"/>
          <w:numId w:val="6"/>
        </w:numPr>
        <w:spacing w:lineRule="auto" w:line="240" w:before="0" w:after="0"/>
        <w:ind w:left="714" w:hanging="357"/>
        <w:rPr>
          <w:rFonts w:ascii="Calibri" w:hAnsi="Calibri" w:cs="Calibri" w:asciiTheme="minorHAnsi" w:cstheme="minorHAnsi" w:hAnsiTheme="minorHAnsi"/>
          <w:color w:val="auto"/>
          <w:szCs w:val="24"/>
        </w:rPr>
      </w:pPr>
      <w:r>
        <w:rPr>
          <w:rFonts w:cs="Calibri" w:cstheme="minorHAnsi"/>
          <w:szCs w:val="24"/>
        </w:rPr>
        <w:t>Data para início da execução do objeto: em até 10 (dez) dias corridos após a assinatura do Contrato.</w:t>
      </w:r>
    </w:p>
    <w:p>
      <w:pPr>
        <w:pStyle w:val="Nivel2"/>
        <w:numPr>
          <w:ilvl w:val="2"/>
          <w:numId w:val="6"/>
        </w:numPr>
        <w:spacing w:lineRule="auto" w:line="240" w:before="0" w:after="0"/>
        <w:ind w:left="714" w:hanging="357"/>
        <w:rPr>
          <w:rFonts w:ascii="Calibri" w:hAnsi="Calibri" w:cs="Calibri" w:asciiTheme="minorHAnsi" w:cstheme="minorHAnsi" w:hAnsiTheme="minorHAnsi"/>
          <w:color w:val="auto"/>
          <w:szCs w:val="24"/>
        </w:rPr>
      </w:pPr>
      <w:r>
        <w:rPr>
          <w:rFonts w:cs="Calibri" w:cstheme="minorHAnsi"/>
          <w:szCs w:val="24"/>
        </w:rPr>
        <w:t>Previamente à execução dos serviços, deverá ser realizada uma reunião, de preferência no local onde será realizada a obra de reforma, com a presença da Fiscalização e dos responsáveis técnicos da CONTRATADA, para coordenação da execução e da fiscalização do contrato, conforme item 8.1.10 deste instrumento.</w:t>
      </w:r>
    </w:p>
    <w:p>
      <w:pPr>
        <w:pStyle w:val="Nivel2"/>
        <w:numPr>
          <w:ilvl w:val="2"/>
          <w:numId w:val="6"/>
        </w:numPr>
        <w:spacing w:lineRule="auto" w:line="240" w:before="0" w:after="0"/>
        <w:ind w:left="714" w:hanging="357"/>
        <w:rPr>
          <w:rFonts w:ascii="Calibri" w:hAnsi="Calibri" w:cs="Calibri" w:asciiTheme="minorHAnsi" w:cstheme="minorHAnsi" w:hAnsiTheme="minorHAnsi"/>
          <w:color w:val="auto"/>
          <w:szCs w:val="24"/>
        </w:rPr>
      </w:pPr>
      <w:r>
        <w:rPr>
          <w:rFonts w:cs="Calibri" w:cstheme="minorHAnsi"/>
          <w:szCs w:val="24"/>
        </w:rPr>
        <w:t>Local de prestação de serviço: os serviços serão realizados nas dependências da CONTRATADA (ou subcontratada, caso autorizado), sendo permitidas visitas ao local da futura obra de reforma (Divisão de Municiamento do Centro de Intendência da Marinha - CeIMPL) quantas vezes forem necessárias para o reconhecimento da situação e das peculiaridades da edificação. As eventuais visitas à edificação ocorrerão na presença de representante da Fiscalização.</w:t>
      </w:r>
    </w:p>
    <w:p>
      <w:pPr>
        <w:pStyle w:val="Nivel2"/>
        <w:numPr>
          <w:ilvl w:val="2"/>
          <w:numId w:val="6"/>
        </w:numPr>
        <w:spacing w:lineRule="auto" w:line="240" w:before="0" w:after="0"/>
        <w:ind w:left="714" w:hanging="357"/>
        <w:rPr>
          <w:rFonts w:ascii="Calibri" w:hAnsi="Calibri" w:cs="Calibri" w:asciiTheme="minorHAnsi" w:cstheme="minorHAnsi" w:hAnsiTheme="minorHAnsi"/>
          <w:color w:val="auto"/>
          <w:szCs w:val="24"/>
        </w:rPr>
      </w:pPr>
      <w:r>
        <w:rPr>
          <w:rFonts w:cs="Calibri" w:cstheme="minorHAnsi"/>
          <w:szCs w:val="24"/>
        </w:rPr>
        <w:t>Os serviços a serem realizados deverão seguir a sequência constante no cronograma físico-financeiro apresentado pela CONTRATADA na sessão pública, podendo este ser ajustado com consentimento da fiscalização/gestão do contrato. Os serviços deverão ser distribuídos em etapas, as quais deverão ser entregues à fiscalização, assim que concluídas, para análise e considerações. Caso a fiscalização identifique a necessidade de correções nos materiais entregues de cada etapa, a CONTRATADA deverá, em prazo definido pela fiscalização, efetuar as correções e fazer nova entrega, para só então iniciar os procedimentos de recebimento.</w:t>
      </w:r>
    </w:p>
    <w:p>
      <w:pPr>
        <w:pStyle w:val="Nivel2"/>
        <w:numPr>
          <w:ilvl w:val="2"/>
          <w:numId w:val="6"/>
        </w:numPr>
        <w:spacing w:lineRule="auto" w:line="240" w:before="0" w:after="0"/>
        <w:ind w:left="714" w:hanging="357"/>
        <w:rPr>
          <w:rFonts w:ascii="Calibri" w:hAnsi="Calibri" w:cs="Calibri" w:asciiTheme="minorHAnsi" w:cstheme="minorHAnsi" w:hAnsiTheme="minorHAnsi"/>
          <w:color w:val="auto"/>
          <w:szCs w:val="24"/>
        </w:rPr>
      </w:pPr>
      <w:r>
        <w:rPr>
          <w:rFonts w:cs="Calibri" w:cstheme="minorHAnsi"/>
          <w:szCs w:val="24"/>
        </w:rPr>
        <w:t>Deverão ser realizadas reuniões periódicas entre a fiscalização e a CONTRATADA, com a presença dos responsáveis técnicos por cada modalidade do Projeto Básico, com a finalidade de dirimir dúvidas e apresentar soluções, com a periodicidade a ser definida pela fiscalização ou mediante solicitação da CONTRATADA, conforme item 8.1.13 deste instrumento.</w:t>
      </w:r>
    </w:p>
    <w:p>
      <w:pPr>
        <w:pStyle w:val="Nivel2"/>
        <w:numPr>
          <w:ilvl w:val="2"/>
          <w:numId w:val="6"/>
        </w:numPr>
        <w:spacing w:lineRule="auto" w:line="240" w:before="0" w:after="0"/>
        <w:ind w:left="714" w:hanging="357"/>
        <w:rPr>
          <w:rFonts w:ascii="Calibri" w:hAnsi="Calibri" w:cs="Calibri" w:asciiTheme="minorHAnsi" w:cstheme="minorHAnsi" w:hAnsiTheme="minorHAnsi"/>
          <w:szCs w:val="24"/>
        </w:rPr>
      </w:pPr>
      <w:r>
        <w:rPr>
          <w:rFonts w:cs="Calibri" w:cstheme="minorHAnsi"/>
          <w:szCs w:val="24"/>
        </w:rPr>
        <w:t>Etapa: período temporal em que são definidas a elaboração e a entrega de um conjunto de atividades previamente listadas.</w:t>
      </w:r>
    </w:p>
    <w:p>
      <w:pPr>
        <w:pStyle w:val="ListParagraph"/>
        <w:numPr>
          <w:ilvl w:val="1"/>
          <w:numId w:val="6"/>
        </w:numPr>
        <w:spacing w:lineRule="auto" w:line="240" w:before="0" w:after="0"/>
        <w:contextualSpacing/>
        <w:jc w:val="both"/>
        <w:rPr>
          <w:rFonts w:ascii="Calibri" w:hAnsi="Calibri" w:cs="Calibri" w:asciiTheme="minorHAnsi" w:cstheme="minorHAnsi" w:hAnsiTheme="minorHAnsi"/>
          <w:szCs w:val="24"/>
        </w:rPr>
      </w:pPr>
      <w:r>
        <w:rPr>
          <w:rFonts w:cs="Calibri" w:cstheme="minorHAnsi"/>
          <w:szCs w:val="24"/>
        </w:rPr>
        <w:t>Cronograma de realização dos serviços: a CONTRATADA deverá disponibilizar durante a data da sessão pública o cronograma físico-financeiro, com as etapas e valores de realização dos serviços, objeto da presente contratação. O prazo para a realização de todos os serviços contratados é de 195 (cento e noventa e cinco) dias. Os 30 (trinta) dias seguintes se referem a prazos relacionados ao recebimento provisório e definitivo do objeto.</w:t>
      </w:r>
    </w:p>
    <w:p>
      <w:pPr>
        <w:pStyle w:val="ListParagraph"/>
        <w:numPr>
          <w:ilvl w:val="1"/>
          <w:numId w:val="6"/>
        </w:numPr>
        <w:spacing w:lineRule="auto" w:line="240" w:before="0" w:after="0"/>
        <w:contextualSpacing/>
        <w:jc w:val="both"/>
        <w:rPr>
          <w:rFonts w:ascii="Calibri" w:hAnsi="Calibri" w:cs="Calibri" w:asciiTheme="minorHAnsi" w:cstheme="minorHAnsi" w:hAnsiTheme="minorHAnsi"/>
          <w:szCs w:val="24"/>
        </w:rPr>
      </w:pPr>
      <w:r>
        <w:rPr>
          <w:rFonts w:cs="Calibri" w:cstheme="minorHAnsi"/>
          <w:szCs w:val="24"/>
        </w:rPr>
        <w:t>A CONTRATADA deverá obedecer às etapas descritas no cronograma físico-financeiro, podendo passar à etapa seguinte somente após a conclusão e entrega final da etapa em curso ou se autorizada pela fiscalização do contrato. A etapa só é totalmente concluída e passível de recebimento pela CONTRATADA quando todos os serviços programados para tal etapa forem concluídos, entregues e recebidos pela fiscalização. Somente em situações devidamente justificadas e após análise e concordância da fiscalização, poderão ser realizados pagamentos proporcionais de uma determinada etapa sem que todas as programações desta tenham sido entregues.</w:t>
      </w:r>
    </w:p>
    <w:p>
      <w:pPr>
        <w:pStyle w:val="Normal"/>
        <w:spacing w:lineRule="auto" w:line="240" w:before="0" w:after="0"/>
        <w:jc w:val="both"/>
        <w:rPr>
          <w:rFonts w:ascii="Calibri" w:hAnsi="Calibri" w:cs="Calibri" w:asciiTheme="minorHAnsi" w:cstheme="minorHAnsi" w:hAnsiTheme="minorHAnsi"/>
          <w:sz w:val="24"/>
          <w:szCs w:val="24"/>
        </w:rPr>
      </w:pPr>
      <w:r>
        <w:rPr>
          <w:rFonts w:cs="Calibri" w:cstheme="minorHAnsi"/>
          <w:sz w:val="24"/>
          <w:szCs w:val="24"/>
        </w:rPr>
      </w:r>
    </w:p>
    <w:p>
      <w:pPr>
        <w:pStyle w:val="Nivel1"/>
        <w:numPr>
          <w:ilvl w:val="0"/>
          <w:numId w:val="3"/>
        </w:numPr>
        <w:spacing w:lineRule="auto" w:line="240" w:before="0" w:after="0"/>
        <w:rPr>
          <w:rFonts w:ascii="Calibri" w:hAnsi="Calibri" w:cs="Calibri" w:asciiTheme="minorHAnsi" w:cstheme="minorHAnsi" w:hAnsiTheme="minorHAnsi"/>
          <w:szCs w:val="24"/>
        </w:rPr>
      </w:pPr>
      <w:r>
        <w:rPr>
          <w:rFonts w:cs="Calibri" w:cstheme="minorHAnsi"/>
          <w:szCs w:val="24"/>
        </w:rPr>
        <w:t>INFORMAÇÕES RELEVANTES PARA O DIMENSIONAMENTO DA PROPOSTA</w:t>
      </w:r>
    </w:p>
    <w:p>
      <w:pPr>
        <w:pStyle w:val="Nivel2"/>
        <w:numPr>
          <w:ilvl w:val="1"/>
          <w:numId w:val="3"/>
        </w:numPr>
        <w:spacing w:lineRule="auto" w:line="240" w:before="0" w:after="0"/>
        <w:rPr>
          <w:rFonts w:ascii="Calibri" w:hAnsi="Calibri" w:cs="Calibri" w:asciiTheme="minorHAnsi" w:cstheme="minorHAnsi" w:hAnsiTheme="minorHAnsi"/>
          <w:szCs w:val="24"/>
        </w:rPr>
      </w:pPr>
      <w:r>
        <w:rPr>
          <w:rFonts w:cs="Calibri" w:cstheme="minorHAnsi"/>
          <w:szCs w:val="24"/>
        </w:rPr>
        <w:t>A demanda do órgão tem como base as seguintes características:</w:t>
      </w:r>
    </w:p>
    <w:p>
      <w:pPr>
        <w:pStyle w:val="Nivel2"/>
        <w:numPr>
          <w:ilvl w:val="2"/>
          <w:numId w:val="3"/>
        </w:numPr>
        <w:spacing w:lineRule="auto" w:line="240" w:before="0" w:after="0"/>
        <w:ind w:left="714" w:hanging="357"/>
        <w:rPr>
          <w:rFonts w:ascii="Calibri" w:hAnsi="Calibri" w:cs="Calibri" w:asciiTheme="minorHAnsi" w:cstheme="minorHAnsi" w:hAnsiTheme="minorHAnsi"/>
          <w:szCs w:val="24"/>
        </w:rPr>
      </w:pPr>
      <w:r>
        <w:rPr>
          <w:rFonts w:cs="Calibri" w:cstheme="minorHAnsi"/>
          <w:szCs w:val="24"/>
        </w:rPr>
        <w:t>A edificação para a qual serão desenvolvidos os projetos e demais documentos técnicos é existente e operacional.</w:t>
      </w:r>
    </w:p>
    <w:p>
      <w:pPr>
        <w:pStyle w:val="Nivel2"/>
        <w:numPr>
          <w:ilvl w:val="2"/>
          <w:numId w:val="3"/>
        </w:numPr>
        <w:spacing w:lineRule="auto" w:line="240" w:before="0" w:after="0"/>
        <w:ind w:left="714" w:hanging="357"/>
        <w:rPr>
          <w:rFonts w:ascii="Calibri" w:hAnsi="Calibri" w:cs="Calibri" w:asciiTheme="minorHAnsi" w:cstheme="minorHAnsi" w:hAnsiTheme="minorHAnsi"/>
          <w:szCs w:val="24"/>
        </w:rPr>
      </w:pPr>
      <w:r>
        <w:rPr>
          <w:rFonts w:cs="Calibri" w:cstheme="minorHAnsi"/>
          <w:szCs w:val="24"/>
        </w:rPr>
        <w:t>A visita técnica, apesar de facultativa, é de considerável importância para o melhor dimensionamento da proposta de preços.</w:t>
      </w:r>
    </w:p>
    <w:p>
      <w:pPr>
        <w:pStyle w:val="Nivel2"/>
        <w:numPr>
          <w:ilvl w:val="2"/>
          <w:numId w:val="3"/>
        </w:numPr>
        <w:spacing w:lineRule="auto" w:line="240" w:before="0" w:after="0"/>
        <w:ind w:left="714" w:hanging="357"/>
        <w:rPr>
          <w:rFonts w:ascii="Calibri" w:hAnsi="Calibri" w:cs="Calibri" w:asciiTheme="minorHAnsi" w:cstheme="minorHAnsi" w:hAnsiTheme="minorHAnsi"/>
          <w:szCs w:val="24"/>
        </w:rPr>
      </w:pPr>
      <w:r>
        <w:rPr>
          <w:rFonts w:cs="Calibri" w:cstheme="minorHAnsi"/>
          <w:szCs w:val="24"/>
        </w:rPr>
        <w:t>Para as fases iniciais após a contratação, será necessária a confirmação “in loco” de todas as medidas da atual edificação, suas características construtivas, envolvendo todas as disciplinas de projeto.</w:t>
      </w:r>
    </w:p>
    <w:p>
      <w:pPr>
        <w:pStyle w:val="Nivel2"/>
        <w:numPr>
          <w:ilvl w:val="2"/>
          <w:numId w:val="3"/>
        </w:numPr>
        <w:spacing w:lineRule="auto" w:line="240" w:before="0" w:after="0"/>
        <w:ind w:left="714" w:hanging="357"/>
        <w:rPr>
          <w:rFonts w:ascii="Calibri" w:hAnsi="Calibri" w:cs="Calibri" w:asciiTheme="minorHAnsi" w:cstheme="minorHAnsi" w:hAnsiTheme="minorHAnsi"/>
          <w:szCs w:val="24"/>
        </w:rPr>
      </w:pPr>
      <w:r>
        <w:rPr>
          <w:rFonts w:cs="Calibri" w:cstheme="minorHAnsi"/>
          <w:szCs w:val="24"/>
        </w:rPr>
        <w:t>Os projetos finais devem ser elaborados em tecnologia 3D, sem necessidade de renderização, com uso de software de escolha da Contratada, e em 2D, formato CAD.</w:t>
      </w:r>
    </w:p>
    <w:p>
      <w:pPr>
        <w:pStyle w:val="Nivel2"/>
        <w:numPr>
          <w:ilvl w:val="2"/>
          <w:numId w:val="3"/>
        </w:numPr>
        <w:spacing w:lineRule="auto" w:line="240" w:before="0" w:after="0"/>
        <w:ind w:left="714" w:hanging="357"/>
        <w:rPr>
          <w:rFonts w:ascii="Calibri" w:hAnsi="Calibri" w:cs="Calibri" w:asciiTheme="minorHAnsi" w:cstheme="minorHAnsi" w:hAnsiTheme="minorHAnsi"/>
          <w:szCs w:val="24"/>
        </w:rPr>
      </w:pPr>
      <w:r>
        <w:rPr>
          <w:rFonts w:cs="Calibri" w:cstheme="minorHAnsi"/>
          <w:szCs w:val="24"/>
        </w:rPr>
        <w:t>O coordenador de projeto deverá conciliar todos os projetos envolvidos para verificação e solução de interferências entre as disciplinas.</w:t>
      </w:r>
    </w:p>
    <w:p>
      <w:pPr>
        <w:pStyle w:val="Nivel2"/>
        <w:spacing w:lineRule="auto" w:line="240" w:before="0" w:after="0"/>
        <w:rPr>
          <w:rFonts w:ascii="Calibri" w:hAnsi="Calibri" w:cs="Calibri" w:asciiTheme="minorHAnsi" w:cstheme="minorHAnsi" w:hAnsiTheme="minorHAnsi"/>
          <w:szCs w:val="24"/>
        </w:rPr>
      </w:pPr>
      <w:r>
        <w:rPr>
          <w:rFonts w:cs="Calibri" w:cstheme="minorHAnsi"/>
          <w:szCs w:val="24"/>
        </w:rPr>
      </w:r>
    </w:p>
    <w:p>
      <w:pPr>
        <w:pStyle w:val="Nivel1"/>
        <w:numPr>
          <w:ilvl w:val="0"/>
          <w:numId w:val="3"/>
        </w:numPr>
        <w:spacing w:lineRule="auto" w:line="240" w:before="0" w:after="0"/>
        <w:rPr>
          <w:rFonts w:ascii="Calibri" w:hAnsi="Calibri" w:cs="Calibri" w:asciiTheme="minorHAnsi" w:cstheme="minorHAnsi" w:hAnsiTheme="minorHAnsi"/>
          <w:szCs w:val="24"/>
        </w:rPr>
      </w:pPr>
      <w:r>
        <w:rPr>
          <w:rFonts w:cs="Calibri" w:cstheme="minorHAnsi"/>
          <w:szCs w:val="24"/>
        </w:rPr>
        <w:t>MODELO DE GESTÃO DO CONTRATO (art. 6º, XXIII, alínea “f” da Lei nº 14.133/21).</w:t>
      </w:r>
    </w:p>
    <w:p>
      <w:pPr>
        <w:pStyle w:val="Nivel1"/>
        <w:numPr>
          <w:ilvl w:val="1"/>
          <w:numId w:val="3"/>
        </w:numPr>
        <w:spacing w:lineRule="auto" w:line="240" w:before="0" w:after="0"/>
        <w:ind w:left="340" w:hanging="340"/>
        <w:rPr>
          <w:rFonts w:ascii="Calibri" w:hAnsi="Calibri" w:cs="Calibri" w:asciiTheme="minorHAnsi" w:cstheme="minorHAnsi" w:hAnsiTheme="minorHAnsi"/>
          <w:szCs w:val="24"/>
        </w:rPr>
      </w:pPr>
      <w:r>
        <w:rPr>
          <w:rFonts w:cs="Calibri" w:cstheme="minorHAnsi"/>
          <w:szCs w:val="24"/>
        </w:rPr>
        <w:t>ROTINAS DE FISCALIZAÇÃO CONTRATUAL</w:t>
      </w:r>
    </w:p>
    <w:p>
      <w:pPr>
        <w:pStyle w:val="ListParagraph"/>
        <w:numPr>
          <w:ilvl w:val="0"/>
          <w:numId w:val="7"/>
        </w:numPr>
        <w:tabs>
          <w:tab w:val="left" w:pos="1134" w:leader="none"/>
        </w:tabs>
        <w:spacing w:lineRule="auto" w:line="240" w:before="0" w:after="0"/>
        <w:contextualSpacing/>
        <w:jc w:val="both"/>
        <w:rPr>
          <w:rFonts w:ascii="Calibri" w:hAnsi="Calibri" w:cs="Calibri" w:asciiTheme="minorHAnsi" w:cstheme="minorHAnsi" w:hAnsiTheme="minorHAnsi"/>
          <w:vanish/>
          <w:szCs w:val="24"/>
        </w:rPr>
      </w:pPr>
      <w:r>
        <w:rPr>
          <w:rFonts w:cs="Calibri" w:cstheme="minorHAnsi"/>
          <w:vanish/>
          <w:szCs w:val="24"/>
        </w:rPr>
      </w:r>
    </w:p>
    <w:p>
      <w:pPr>
        <w:pStyle w:val="ListParagraph"/>
        <w:numPr>
          <w:ilvl w:val="1"/>
          <w:numId w:val="7"/>
        </w:numPr>
        <w:tabs>
          <w:tab w:val="left" w:pos="1134" w:leader="none"/>
        </w:tabs>
        <w:spacing w:lineRule="auto" w:line="240" w:before="0" w:after="0"/>
        <w:contextualSpacing/>
        <w:jc w:val="both"/>
        <w:rPr>
          <w:rFonts w:ascii="Calibri" w:hAnsi="Calibri" w:cs="Calibri" w:asciiTheme="minorHAnsi" w:cstheme="minorHAnsi" w:hAnsiTheme="minorHAnsi"/>
          <w:vanish/>
          <w:szCs w:val="24"/>
        </w:rPr>
      </w:pPr>
      <w:r>
        <w:rPr>
          <w:rFonts w:cs="Calibri" w:cstheme="minorHAnsi"/>
          <w:vanish/>
          <w:szCs w:val="24"/>
        </w:rPr>
      </w:r>
    </w:p>
    <w:p>
      <w:pPr>
        <w:pStyle w:val="Nivel2"/>
        <w:numPr>
          <w:ilvl w:val="2"/>
          <w:numId w:val="7"/>
        </w:numPr>
        <w:spacing w:lineRule="auto" w:line="240" w:before="0" w:after="0"/>
        <w:ind w:left="714" w:hanging="357"/>
        <w:rPr>
          <w:rFonts w:ascii="Calibri" w:hAnsi="Calibri" w:cs="Calibri" w:asciiTheme="minorHAnsi" w:cstheme="minorHAnsi" w:hAnsiTheme="minorHAnsi"/>
          <w:color w:val="auto"/>
          <w:szCs w:val="24"/>
        </w:rPr>
      </w:pPr>
      <w:r>
        <w:rPr>
          <w:rFonts w:cs="Calibri" w:cstheme="minorHAnsi"/>
          <w:szCs w:val="24"/>
        </w:rPr>
        <w:t>O contrato deverá ser executado fielmente pelas partes, de acordo com as cláusulas avençadas e as normas da Lei nº 14.133, de 2021, e cada parte responderá pelas consequências de sua inexecução total ou parcial (Lei nº 14.133/2021, art. 115, caput).</w:t>
      </w:r>
    </w:p>
    <w:p>
      <w:pPr>
        <w:pStyle w:val="Nivel2"/>
        <w:numPr>
          <w:ilvl w:val="2"/>
          <w:numId w:val="7"/>
        </w:numPr>
        <w:spacing w:lineRule="auto" w:line="240" w:before="0" w:after="0"/>
        <w:ind w:left="714" w:hanging="357"/>
        <w:rPr>
          <w:rFonts w:ascii="Calibri" w:hAnsi="Calibri" w:cs="Calibri" w:asciiTheme="minorHAnsi" w:cstheme="minorHAnsi" w:hAnsiTheme="minorHAnsi"/>
          <w:color w:val="auto"/>
          <w:szCs w:val="24"/>
        </w:rPr>
      </w:pPr>
      <w:bookmarkStart w:id="2" w:name="art115%25C2%25A75"/>
      <w:bookmarkStart w:id="3" w:name="art115%25C2%25A71"/>
      <w:bookmarkEnd w:id="2"/>
      <w:bookmarkEnd w:id="3"/>
      <w:r>
        <w:rPr>
          <w:rFonts w:cs="Calibri" w:cstheme="minorHAnsi"/>
          <w:szCs w:val="24"/>
        </w:rPr>
        <w:t>Em caso de impedimento, ordem de paralisação ou suspensão do contrato, o cronograma de execução será prorrogado automaticamente pelo tempo correspondente, anotadas tais circunstâncias mediante simples apostila (Lei nº 14.133/2021, art. 115, §5º).</w:t>
      </w:r>
    </w:p>
    <w:p>
      <w:pPr>
        <w:pStyle w:val="Nivel2"/>
        <w:numPr>
          <w:ilvl w:val="2"/>
          <w:numId w:val="7"/>
        </w:numPr>
        <w:spacing w:lineRule="auto" w:line="240" w:before="0" w:after="0"/>
        <w:ind w:left="714" w:hanging="357"/>
        <w:rPr>
          <w:rFonts w:ascii="Calibri" w:hAnsi="Calibri" w:cs="Calibri" w:asciiTheme="minorHAnsi" w:cstheme="minorHAnsi" w:hAnsiTheme="minorHAnsi"/>
          <w:color w:val="auto"/>
          <w:szCs w:val="24"/>
        </w:rPr>
      </w:pPr>
      <w:bookmarkStart w:id="4" w:name="art116"/>
      <w:bookmarkEnd w:id="4"/>
      <w:r>
        <w:rPr>
          <w:rFonts w:cs="Calibri" w:cstheme="minorHAnsi"/>
          <w:szCs w:val="24"/>
        </w:rPr>
        <w:t>A execução do contrato deverá ser acompanhada e fiscalizada pelo(s) fiscal(is) do contrato, ou pelos respectivos substitutos (Lei nº 14.133/2021, art. 117, caput).</w:t>
      </w:r>
    </w:p>
    <w:p>
      <w:pPr>
        <w:pStyle w:val="Nivel2"/>
        <w:numPr>
          <w:ilvl w:val="3"/>
          <w:numId w:val="7"/>
        </w:numPr>
        <w:spacing w:lineRule="auto" w:line="240" w:before="0" w:after="0"/>
        <w:ind w:left="1666" w:hanging="833"/>
        <w:rPr>
          <w:rFonts w:ascii="Calibri" w:hAnsi="Calibri" w:cs="Calibri" w:asciiTheme="minorHAnsi" w:cstheme="minorHAnsi" w:hAnsiTheme="minorHAnsi"/>
          <w:color w:val="auto"/>
          <w:szCs w:val="24"/>
        </w:rPr>
      </w:pPr>
      <w:r>
        <w:rPr>
          <w:rFonts w:cs="Calibri" w:cstheme="minorHAnsi"/>
          <w:szCs w:val="24"/>
        </w:rPr>
        <w:t>O fiscal do contrato anotará em registro próprio todas as ocorrências relacionadas à execução do contrato, determinando o que for necessário para a regularização das faltas ou dos defeitos observados (Lei nº 14.133/2021, art. 117, §1º).</w:t>
      </w:r>
    </w:p>
    <w:p>
      <w:pPr>
        <w:pStyle w:val="Nivel2"/>
        <w:numPr>
          <w:ilvl w:val="3"/>
          <w:numId w:val="7"/>
        </w:numPr>
        <w:spacing w:lineRule="auto" w:line="240" w:before="0" w:after="0"/>
        <w:ind w:left="1666" w:hanging="833"/>
        <w:rPr>
          <w:rFonts w:ascii="Calibri" w:hAnsi="Calibri" w:cs="Calibri" w:asciiTheme="minorHAnsi" w:cstheme="minorHAnsi" w:hAnsiTheme="minorHAnsi"/>
          <w:color w:val="auto"/>
          <w:szCs w:val="24"/>
        </w:rPr>
      </w:pPr>
      <w:bookmarkStart w:id="5" w:name="art117%25C2%25A72"/>
      <w:bookmarkEnd w:id="5"/>
      <w:r>
        <w:rPr>
          <w:rFonts w:cs="Calibri" w:cstheme="minorHAnsi"/>
          <w:szCs w:val="24"/>
        </w:rPr>
        <w:t>O fiscal do contrato informará a seus superiores, em tempo hábil para a adoção das medidas convenientes, a situação que demandar decisão ou providência que ultrapasse sua competência (Lei nº 14.133/2021, art. 117, §2º).</w:t>
      </w:r>
    </w:p>
    <w:p>
      <w:pPr>
        <w:pStyle w:val="Nivel2"/>
        <w:numPr>
          <w:ilvl w:val="2"/>
          <w:numId w:val="7"/>
        </w:numPr>
        <w:tabs>
          <w:tab w:val="left" w:pos="567" w:leader="none"/>
          <w:tab w:val="left" w:pos="1134" w:leader="none"/>
        </w:tabs>
        <w:spacing w:lineRule="auto" w:line="240" w:before="0" w:after="0"/>
        <w:ind w:left="714" w:hanging="357"/>
        <w:rPr>
          <w:rFonts w:ascii="Calibri" w:hAnsi="Calibri" w:cs="Calibri" w:asciiTheme="minorHAnsi" w:cstheme="minorHAnsi" w:hAnsiTheme="minorHAnsi"/>
          <w:color w:val="auto"/>
          <w:szCs w:val="24"/>
        </w:rPr>
      </w:pPr>
      <w:r>
        <w:rPr>
          <w:rFonts w:cs="Calibri" w:cstheme="minorHAnsi"/>
          <w:szCs w:val="24"/>
        </w:rPr>
        <w:t>ACONTRATADA deverá indicar e manter preposto aceito pela Administração para representá-lo na execução do contrato. (Lei nº 14.133/2021, art. 118).</w:t>
      </w:r>
    </w:p>
    <w:p>
      <w:pPr>
        <w:pStyle w:val="Nivel2"/>
        <w:numPr>
          <w:ilvl w:val="3"/>
          <w:numId w:val="7"/>
        </w:numPr>
        <w:spacing w:lineRule="auto" w:line="240" w:before="0" w:after="0"/>
        <w:ind w:left="1666" w:hanging="833"/>
        <w:rPr>
          <w:rFonts w:ascii="Calibri" w:hAnsi="Calibri" w:cs="Calibri" w:asciiTheme="minorHAnsi" w:cstheme="minorHAnsi" w:hAnsiTheme="minorHAnsi"/>
          <w:color w:val="auto"/>
          <w:szCs w:val="24"/>
        </w:rPr>
      </w:pPr>
      <w:r>
        <w:rPr>
          <w:rFonts w:cs="Calibri" w:cstheme="minorHAnsi"/>
          <w:szCs w:val="24"/>
        </w:rPr>
        <w:t>A indicação ou a manutenção do preposto da empresa poderá ser recusada pelo órgão ou entidade, desde que devidamente justificada, devendo a empresa designar outro para o exercício da atividade (IN 5, art. 44, §1º), no prazo indicado pelo fiscal.</w:t>
      </w:r>
    </w:p>
    <w:p>
      <w:pPr>
        <w:pStyle w:val="Nivel2"/>
        <w:numPr>
          <w:ilvl w:val="2"/>
          <w:numId w:val="7"/>
        </w:numPr>
        <w:spacing w:lineRule="auto" w:line="240" w:before="0" w:after="0"/>
        <w:ind w:left="714" w:hanging="357"/>
        <w:rPr>
          <w:rFonts w:ascii="Calibri" w:hAnsi="Calibri" w:cs="Calibri" w:asciiTheme="minorHAnsi" w:cstheme="minorHAnsi" w:hAnsiTheme="minorHAnsi"/>
          <w:color w:val="auto"/>
          <w:szCs w:val="24"/>
        </w:rPr>
      </w:pPr>
      <w:bookmarkStart w:id="6" w:name="art123"/>
      <w:bookmarkStart w:id="7" w:name="art122"/>
      <w:bookmarkStart w:id="8" w:name="art122%25C2%25A71"/>
      <w:bookmarkStart w:id="9" w:name="art122%25C2%25A72"/>
      <w:bookmarkStart w:id="10" w:name="art122%25C2%25A73"/>
      <w:bookmarkEnd w:id="6"/>
      <w:bookmarkEnd w:id="7"/>
      <w:bookmarkEnd w:id="8"/>
      <w:bookmarkEnd w:id="9"/>
      <w:bookmarkEnd w:id="10"/>
      <w:r>
        <w:rPr>
          <w:rFonts w:cs="Calibri" w:cstheme="minorHAnsi"/>
          <w:szCs w:val="24"/>
        </w:rPr>
        <w:t>ACONTRATADA será obrigada a reparar, corrigir, remover, reconstruir ou substituir, a suas expensas, no total ou em parte, o objeto do contrato em que se verificarem vícios, defeitos ou incorreções resultantes de sua execução ou de materiais nela empregados (Lei nº 14.133/2021, art. 119).</w:t>
      </w:r>
    </w:p>
    <w:p>
      <w:pPr>
        <w:pStyle w:val="Nivel2"/>
        <w:numPr>
          <w:ilvl w:val="2"/>
          <w:numId w:val="7"/>
        </w:numPr>
        <w:spacing w:lineRule="auto" w:line="240" w:before="0" w:after="0"/>
        <w:ind w:left="714" w:hanging="357"/>
        <w:rPr>
          <w:rFonts w:ascii="Calibri" w:hAnsi="Calibri" w:cs="Calibri" w:asciiTheme="minorHAnsi" w:cstheme="minorHAnsi" w:hAnsiTheme="minorHAnsi"/>
          <w:color w:val="auto"/>
          <w:szCs w:val="24"/>
        </w:rPr>
      </w:pPr>
      <w:bookmarkStart w:id="11" w:name="art120"/>
      <w:bookmarkEnd w:id="11"/>
      <w:r>
        <w:rPr>
          <w:rFonts w:cs="Calibri" w:cstheme="minorHAnsi"/>
          <w:szCs w:val="24"/>
        </w:rPr>
        <w:t>ACONTRATADA será responsável pelos danos causados diretamente à Administração ou a terceiros em razão da execução do contrato, e não excluirá nem reduzirá essa responsabilidade a fiscalização ou o acompanhamento pelo contratante (Lei nº 14.133/2021, art. 120).</w:t>
      </w:r>
    </w:p>
    <w:p>
      <w:pPr>
        <w:pStyle w:val="Nivel2"/>
        <w:numPr>
          <w:ilvl w:val="2"/>
          <w:numId w:val="7"/>
        </w:numPr>
        <w:spacing w:lineRule="auto" w:line="240" w:before="0" w:after="0"/>
        <w:ind w:left="714" w:hanging="357"/>
        <w:rPr>
          <w:rFonts w:ascii="Calibri" w:hAnsi="Calibri" w:cs="Calibri" w:asciiTheme="minorHAnsi" w:cstheme="minorHAnsi" w:hAnsiTheme="minorHAnsi"/>
          <w:color w:val="auto"/>
          <w:szCs w:val="24"/>
        </w:rPr>
      </w:pPr>
      <w:bookmarkStart w:id="12" w:name="art121"/>
      <w:bookmarkEnd w:id="12"/>
      <w:r>
        <w:rPr>
          <w:rFonts w:cs="Calibri" w:cstheme="minorHAnsi"/>
          <w:szCs w:val="24"/>
        </w:rPr>
        <w:t>Somente aCONTRATADA será responsável pelos encargos trabalhistas, previdenciários, fiscais e comerciais resultantes da execução do contrato (Lei nº 14.133/2021, art. 121, caput).</w:t>
      </w:r>
    </w:p>
    <w:p>
      <w:pPr>
        <w:pStyle w:val="Nivel2"/>
        <w:numPr>
          <w:ilvl w:val="3"/>
          <w:numId w:val="7"/>
        </w:numPr>
        <w:spacing w:lineRule="auto" w:line="240" w:before="0" w:after="0"/>
        <w:ind w:left="1666" w:hanging="833"/>
        <w:rPr>
          <w:rFonts w:ascii="Calibri" w:hAnsi="Calibri" w:cs="Calibri" w:asciiTheme="minorHAnsi" w:cstheme="minorHAnsi" w:hAnsiTheme="minorHAnsi"/>
          <w:color w:val="auto"/>
          <w:szCs w:val="24"/>
        </w:rPr>
      </w:pPr>
      <w:bookmarkStart w:id="13" w:name="art121%25C2%25A71"/>
      <w:bookmarkEnd w:id="13"/>
      <w:r>
        <w:rPr>
          <w:rFonts w:cs="Calibri" w:cstheme="minorHAnsi"/>
          <w:szCs w:val="24"/>
        </w:rPr>
        <w:t>A inadimplência do contratado em relação aos encargos trabalhistas, fiscais e comerciais não transferirá à Administração a responsabilidade pelo seu pagamento e não poderá onerar o objeto do contrato (Lei nº 14.133/2021, art. 121, §1º).</w:t>
      </w:r>
    </w:p>
    <w:p>
      <w:pPr>
        <w:pStyle w:val="Nivel2"/>
        <w:numPr>
          <w:ilvl w:val="2"/>
          <w:numId w:val="7"/>
        </w:numPr>
        <w:spacing w:lineRule="auto" w:line="240" w:before="0" w:after="0"/>
        <w:ind w:left="714" w:hanging="357"/>
        <w:rPr>
          <w:rFonts w:ascii="Calibri" w:hAnsi="Calibri" w:cs="Calibri" w:asciiTheme="minorHAnsi" w:cstheme="minorHAnsi" w:hAnsiTheme="minorHAnsi"/>
          <w:color w:val="auto"/>
          <w:szCs w:val="24"/>
        </w:rPr>
      </w:pPr>
      <w:r>
        <w:rPr>
          <w:rFonts w:cs="Calibri" w:cstheme="minorHAnsi"/>
          <w:szCs w:val="24"/>
        </w:rPr>
        <w:t>As comunicações entre o órgão ou entidade e a CONTRATADA devem ser realizadas por escrito sempre que o ato exigir tal formalidade, admitindo-se, excepcionalmente, o uso de mensagem eletrônica para esse fim (IN 5/2017, art. 44, §2º).</w:t>
      </w:r>
    </w:p>
    <w:p>
      <w:pPr>
        <w:pStyle w:val="Nivel2"/>
        <w:numPr>
          <w:ilvl w:val="2"/>
          <w:numId w:val="7"/>
        </w:numPr>
        <w:spacing w:lineRule="auto" w:line="240" w:before="0" w:after="0"/>
        <w:ind w:left="714" w:hanging="357"/>
        <w:rPr>
          <w:rFonts w:ascii="Calibri" w:hAnsi="Calibri" w:cs="Calibri" w:asciiTheme="minorHAnsi" w:cstheme="minorHAnsi" w:hAnsiTheme="minorHAnsi"/>
          <w:color w:val="auto"/>
          <w:szCs w:val="24"/>
        </w:rPr>
      </w:pPr>
      <w:r>
        <w:rPr>
          <w:rFonts w:cs="Calibri" w:cstheme="minorHAnsi"/>
          <w:szCs w:val="24"/>
        </w:rPr>
        <w:t>O órgão ou entidade poderá convocar representante da empresa para adoção de providências que devam ser cumpridas de imediato (IN 5/2017, art. 44, §3º).</w:t>
      </w:r>
    </w:p>
    <w:p>
      <w:pPr>
        <w:pStyle w:val="Nivel2"/>
        <w:numPr>
          <w:ilvl w:val="2"/>
          <w:numId w:val="7"/>
        </w:numPr>
        <w:spacing w:lineRule="auto" w:line="240" w:before="0" w:after="0"/>
        <w:ind w:left="714" w:hanging="357"/>
        <w:rPr>
          <w:rFonts w:ascii="Calibri" w:hAnsi="Calibri" w:cs="Calibri" w:asciiTheme="minorHAnsi" w:cstheme="minorHAnsi" w:hAnsiTheme="minorHAnsi"/>
          <w:color w:val="auto"/>
          <w:szCs w:val="24"/>
        </w:rPr>
      </w:pPr>
      <w:r>
        <w:rPr>
          <w:rFonts w:cs="Calibri" w:cstheme="minorHAnsi"/>
          <w:szCs w:val="24"/>
        </w:rPr>
        <w:t>Após a assinatura do contrato ou instrumento equivalente, o órgão ou entidade convocará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(IN 5/2017, art. 44, 31º).</w:t>
      </w:r>
    </w:p>
    <w:p>
      <w:pPr>
        <w:pStyle w:val="Nivel2"/>
        <w:numPr>
          <w:ilvl w:val="2"/>
          <w:numId w:val="7"/>
        </w:numPr>
        <w:spacing w:lineRule="auto" w:line="240" w:before="0" w:after="0"/>
        <w:ind w:left="714" w:hanging="357"/>
        <w:rPr>
          <w:rFonts w:ascii="Calibri" w:hAnsi="Calibri" w:cs="Calibri" w:asciiTheme="minorHAnsi" w:cstheme="minorHAnsi" w:hAnsiTheme="minorHAnsi"/>
          <w:color w:val="auto"/>
          <w:szCs w:val="24"/>
        </w:rPr>
      </w:pPr>
      <w:r>
        <w:rPr>
          <w:rFonts w:cs="Calibri" w:cstheme="minorHAnsi"/>
          <w:szCs w:val="24"/>
        </w:rPr>
        <w:t>Antes do pagamento da nota fiscal ou da fatura, deverá ser consultada a situação da empresa junto ao SICAF.</w:t>
      </w:r>
    </w:p>
    <w:p>
      <w:pPr>
        <w:pStyle w:val="Nivel2"/>
        <w:numPr>
          <w:ilvl w:val="2"/>
          <w:numId w:val="7"/>
        </w:numPr>
        <w:spacing w:lineRule="auto" w:line="240" w:before="0" w:after="0"/>
        <w:ind w:left="714" w:hanging="357"/>
        <w:rPr>
          <w:rFonts w:ascii="Calibri" w:hAnsi="Calibri" w:cs="Calibri" w:asciiTheme="minorHAnsi" w:cstheme="minorHAnsi" w:hAnsiTheme="minorHAnsi"/>
          <w:color w:val="auto"/>
          <w:szCs w:val="24"/>
        </w:rPr>
      </w:pPr>
      <w:r>
        <w:rPr>
          <w:rFonts w:cs="Calibri" w:cstheme="minorHAnsi"/>
          <w:szCs w:val="24"/>
        </w:rPr>
        <w:t>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pPr>
        <w:pStyle w:val="Nivel2"/>
        <w:numPr>
          <w:ilvl w:val="2"/>
          <w:numId w:val="7"/>
        </w:numPr>
        <w:spacing w:lineRule="auto" w:line="240" w:before="0" w:after="0"/>
        <w:ind w:left="714" w:hanging="357"/>
        <w:rPr>
          <w:rFonts w:ascii="Calibri" w:hAnsi="Calibri" w:cs="Calibri" w:asciiTheme="minorHAnsi" w:cstheme="minorHAnsi" w:hAnsiTheme="minorHAnsi"/>
          <w:color w:val="auto"/>
          <w:szCs w:val="24"/>
        </w:rPr>
      </w:pPr>
      <w:r>
        <w:rPr>
          <w:rFonts w:cs="Calibri" w:cstheme="minorHAnsi"/>
          <w:szCs w:val="24"/>
        </w:rPr>
        <w:t>Além do disposto acima, a fiscalização contratual obedecerá às seguintes rotinas:</w:t>
      </w:r>
    </w:p>
    <w:p>
      <w:pPr>
        <w:pStyle w:val="Nivel2"/>
        <w:numPr>
          <w:ilvl w:val="3"/>
          <w:numId w:val="7"/>
        </w:numPr>
        <w:spacing w:lineRule="auto" w:line="240" w:before="0" w:after="0"/>
        <w:ind w:left="1666" w:hanging="833"/>
        <w:rPr>
          <w:rFonts w:ascii="Calibri" w:hAnsi="Calibri" w:cs="Calibri" w:asciiTheme="minorHAnsi" w:cstheme="minorHAnsi" w:hAnsiTheme="minorHAnsi"/>
          <w:color w:val="auto"/>
          <w:szCs w:val="24"/>
        </w:rPr>
      </w:pPr>
      <w:r>
        <w:rPr>
          <w:rFonts w:cs="Calibri" w:cstheme="minorHAnsi"/>
          <w:szCs w:val="24"/>
        </w:rPr>
        <w:t>Comunicações semanais, de acordo com a periodicidade definida pela fiscalização ou mediante solicitação da CONTRATADA, por e-mail ou reuniões virtuais para o acompanhamento das entregas das etapas do cronograma;</w:t>
      </w:r>
    </w:p>
    <w:p>
      <w:pPr>
        <w:pStyle w:val="Nivel2"/>
        <w:numPr>
          <w:ilvl w:val="3"/>
          <w:numId w:val="7"/>
        </w:numPr>
        <w:spacing w:lineRule="auto" w:line="240" w:before="0" w:after="0"/>
        <w:ind w:left="1666" w:hanging="833"/>
        <w:rPr>
          <w:rFonts w:ascii="Calibri" w:hAnsi="Calibri" w:cs="Calibri" w:asciiTheme="minorHAnsi" w:cstheme="minorHAnsi" w:hAnsiTheme="minorHAnsi"/>
          <w:color w:val="auto"/>
          <w:szCs w:val="24"/>
        </w:rPr>
      </w:pPr>
      <w:r>
        <w:rPr>
          <w:rFonts w:cs="Calibri" w:cstheme="minorHAnsi"/>
          <w:szCs w:val="24"/>
        </w:rPr>
        <w:t>Comunicações semanais, de acordo com a periodicidade definida pela fiscalização ou mediante solicitação da CONTRATADA, para deliberações técnicas das soluções para os diversos projetos e documentos a serem elaborados;</w:t>
      </w:r>
    </w:p>
    <w:p>
      <w:pPr>
        <w:pStyle w:val="Nivel2"/>
        <w:numPr>
          <w:ilvl w:val="3"/>
          <w:numId w:val="7"/>
        </w:numPr>
        <w:spacing w:lineRule="auto" w:line="240" w:before="0" w:after="0"/>
        <w:ind w:left="1666" w:hanging="833"/>
        <w:rPr>
          <w:rFonts w:ascii="Calibri" w:hAnsi="Calibri" w:cs="Calibri" w:asciiTheme="minorHAnsi" w:cstheme="minorHAnsi" w:hAnsiTheme="minorHAnsi"/>
          <w:color w:val="auto"/>
          <w:szCs w:val="24"/>
        </w:rPr>
      </w:pPr>
      <w:r>
        <w:rPr>
          <w:rFonts w:cs="Calibri" w:cstheme="minorHAnsi"/>
          <w:szCs w:val="24"/>
        </w:rPr>
        <w:t>Comunicações para esclarecimentos quanto ao funcionamento do órgão de modo a colaborar para a elaboração de projetos compatíveis com as atividades realizadas pelo CONTRATANTE.</w:t>
      </w:r>
    </w:p>
    <w:p>
      <w:pPr>
        <w:pStyle w:val="Nivel2"/>
        <w:spacing w:lineRule="auto" w:line="240" w:before="0" w:after="0"/>
        <w:ind w:left="1666" w:hanging="357"/>
        <w:rPr>
          <w:rFonts w:ascii="Calibri" w:hAnsi="Calibri" w:cs="Calibri" w:asciiTheme="minorHAnsi" w:cstheme="minorHAnsi" w:hAnsiTheme="minorHAnsi"/>
          <w:color w:val="auto"/>
          <w:szCs w:val="24"/>
        </w:rPr>
      </w:pPr>
      <w:r>
        <w:rPr>
          <w:rFonts w:cs="Calibri" w:cstheme="minorHAnsi"/>
          <w:color w:val="auto"/>
          <w:szCs w:val="24"/>
        </w:rPr>
      </w:r>
    </w:p>
    <w:p>
      <w:pPr>
        <w:pStyle w:val="Nivel1"/>
        <w:numPr>
          <w:ilvl w:val="1"/>
          <w:numId w:val="3"/>
        </w:numPr>
        <w:spacing w:lineRule="auto" w:line="240" w:before="0" w:after="0"/>
        <w:rPr>
          <w:rFonts w:ascii="Calibri" w:hAnsi="Calibri" w:cs="Calibri" w:asciiTheme="minorHAnsi" w:cstheme="minorHAnsi" w:hAnsiTheme="minorHAnsi"/>
          <w:szCs w:val="24"/>
        </w:rPr>
      </w:pPr>
      <w:r>
        <w:rPr>
          <w:rFonts w:cs="Calibri" w:cstheme="minorHAnsi"/>
          <w:szCs w:val="24"/>
        </w:rPr>
        <w:t>DOS CRITÉRIOS DE AFERIÇÃO E MEDIÇÃO PARA FATURAMENTO</w:t>
      </w:r>
    </w:p>
    <w:p>
      <w:pPr>
        <w:pStyle w:val="Nivel2"/>
        <w:numPr>
          <w:ilvl w:val="2"/>
          <w:numId w:val="3"/>
        </w:numPr>
        <w:spacing w:lineRule="auto" w:line="240" w:before="0" w:after="0"/>
        <w:ind w:left="714" w:hanging="357"/>
        <w:rPr>
          <w:rFonts w:ascii="Calibri" w:hAnsi="Calibri" w:cs="Calibri" w:asciiTheme="minorHAnsi" w:cstheme="minorHAnsi" w:hAnsiTheme="minorHAnsi"/>
          <w:szCs w:val="24"/>
        </w:rPr>
      </w:pPr>
      <w:r>
        <w:rPr>
          <w:rFonts w:cs="Calibri" w:cstheme="minorHAnsi"/>
          <w:szCs w:val="24"/>
        </w:rPr>
        <w:t>As medições serão realizadas conforme as etapas do cronograma físico-financeiro forem recebidas e aceitas pela contratante.</w:t>
      </w:r>
    </w:p>
    <w:p>
      <w:pPr>
        <w:pStyle w:val="Nivel2"/>
        <w:numPr>
          <w:ilvl w:val="2"/>
          <w:numId w:val="3"/>
        </w:numPr>
        <w:spacing w:lineRule="auto" w:line="240" w:before="0" w:after="0"/>
        <w:ind w:left="714" w:hanging="357"/>
        <w:rPr>
          <w:rFonts w:ascii="Calibri" w:hAnsi="Calibri" w:cs="Calibri" w:asciiTheme="minorHAnsi" w:cstheme="minorHAnsi" w:hAnsiTheme="minorHAnsi"/>
          <w:szCs w:val="24"/>
        </w:rPr>
      </w:pPr>
      <w:r>
        <w:rPr>
          <w:rFonts w:cs="Calibri" w:cstheme="minorHAnsi"/>
          <w:szCs w:val="24"/>
        </w:rPr>
        <w:t>Nos termos do item 1, do Apêndice VIII-A da Instrução Normativa SEGES/MP nº 05, de 2017, será indicada a retenção ou glosa no pagamento, proporcional à irregularidade verificada, sem prejuízo das sanções cabíveis, caso se constate que a Contratada:</w:t>
      </w:r>
    </w:p>
    <w:p>
      <w:pPr>
        <w:pStyle w:val="Nivel2"/>
        <w:numPr>
          <w:ilvl w:val="3"/>
          <w:numId w:val="3"/>
        </w:numPr>
        <w:spacing w:lineRule="auto" w:line="240" w:before="0" w:after="0"/>
        <w:ind w:left="1666" w:hanging="833"/>
        <w:rPr>
          <w:rFonts w:ascii="Calibri" w:hAnsi="Calibri" w:cs="Calibri" w:asciiTheme="minorHAnsi" w:cstheme="minorHAnsi" w:hAnsiTheme="minorHAnsi"/>
          <w:szCs w:val="24"/>
        </w:rPr>
      </w:pPr>
      <w:r>
        <w:rPr>
          <w:rFonts w:cs="Calibri" w:cstheme="minorHAnsi"/>
          <w:szCs w:val="24"/>
        </w:rPr>
        <w:t>Não produziu os resultados acordados;</w:t>
      </w:r>
    </w:p>
    <w:p>
      <w:pPr>
        <w:pStyle w:val="Nivel2"/>
        <w:numPr>
          <w:ilvl w:val="3"/>
          <w:numId w:val="3"/>
        </w:numPr>
        <w:spacing w:lineRule="auto" w:line="240" w:before="0" w:after="0"/>
        <w:ind w:left="1666" w:hanging="833"/>
        <w:rPr>
          <w:rFonts w:ascii="Calibri" w:hAnsi="Calibri" w:cs="Calibri" w:asciiTheme="minorHAnsi" w:cstheme="minorHAnsi" w:hAnsiTheme="minorHAnsi"/>
          <w:szCs w:val="24"/>
        </w:rPr>
      </w:pPr>
      <w:r>
        <w:rPr>
          <w:rFonts w:cs="Calibri" w:cstheme="minorHAnsi"/>
          <w:szCs w:val="24"/>
        </w:rPr>
        <w:t>Deixou de executar as atividades contratadas, ou não as executou com a qualidade mínima exigida; e</w:t>
      </w:r>
    </w:p>
    <w:p>
      <w:pPr>
        <w:pStyle w:val="Nivel2"/>
        <w:numPr>
          <w:ilvl w:val="3"/>
          <w:numId w:val="3"/>
        </w:numPr>
        <w:spacing w:lineRule="auto" w:line="240" w:before="0" w:after="0"/>
        <w:ind w:left="1666" w:hanging="833"/>
        <w:rPr>
          <w:rFonts w:ascii="Calibri" w:hAnsi="Calibri" w:cs="Calibri" w:asciiTheme="minorHAnsi" w:cstheme="minorHAnsi" w:hAnsiTheme="minorHAnsi"/>
          <w:color w:val="auto"/>
          <w:szCs w:val="24"/>
        </w:rPr>
      </w:pPr>
      <w:r>
        <w:rPr>
          <w:rFonts w:cs="Calibri" w:cstheme="minorHAnsi"/>
          <w:szCs w:val="24"/>
        </w:rPr>
        <w:t xml:space="preserve">Deixou de utilizar os materiais ou recursos humanos exigidos para a execução do serviço, ou utilizou-os com qualidade ou quantidade inferior à </w:t>
      </w:r>
      <w:r>
        <w:rPr>
          <w:rFonts w:cs="Calibri" w:cstheme="minorHAnsi"/>
          <w:color w:val="auto"/>
          <w:szCs w:val="24"/>
        </w:rPr>
        <w:t>demandada.</w:t>
      </w:r>
    </w:p>
    <w:p>
      <w:pPr>
        <w:pStyle w:val="Nivel1"/>
        <w:numPr>
          <w:ilvl w:val="1"/>
          <w:numId w:val="3"/>
        </w:numPr>
        <w:spacing w:lineRule="auto" w:line="240" w:before="0" w:after="0"/>
        <w:rPr>
          <w:rFonts w:ascii="Calibri" w:hAnsi="Calibri" w:cs="Calibri" w:asciiTheme="minorHAnsi" w:cstheme="minorHAnsi" w:hAnsiTheme="minorHAnsi"/>
          <w:color w:val="auto"/>
          <w:szCs w:val="24"/>
        </w:rPr>
      </w:pPr>
      <w:r>
        <w:rPr>
          <w:rFonts w:cs="Calibri" w:cstheme="minorHAnsi"/>
          <w:color w:val="auto"/>
          <w:szCs w:val="24"/>
        </w:rPr>
        <w:t>DO RECEBIMENTO</w:t>
      </w:r>
    </w:p>
    <w:p>
      <w:pPr>
        <w:pStyle w:val="Nivel2"/>
        <w:numPr>
          <w:ilvl w:val="2"/>
          <w:numId w:val="3"/>
        </w:numPr>
        <w:spacing w:lineRule="auto" w:line="240" w:before="0" w:after="0"/>
        <w:ind w:left="714" w:hanging="357"/>
        <w:rPr>
          <w:rFonts w:ascii="Calibri" w:hAnsi="Calibri" w:cs="Calibri" w:asciiTheme="minorHAnsi" w:cstheme="minorHAnsi" w:hAnsiTheme="minorHAnsi"/>
          <w:szCs w:val="24"/>
        </w:rPr>
      </w:pPr>
      <w:r>
        <w:rPr>
          <w:rFonts w:cs="Calibri" w:cstheme="minorHAnsi"/>
          <w:szCs w:val="24"/>
        </w:rPr>
        <w:t>Ao final de cada etapa da execução contratual, conforme previsto no Cronograma Físico-Financeiro, a CONTRATADA apresentará a medição prévia dos serviços executados no período, por meio de planilha e memória de cálculo detalhada.</w:t>
      </w:r>
    </w:p>
    <w:p>
      <w:pPr>
        <w:pStyle w:val="Nivel2"/>
        <w:numPr>
          <w:ilvl w:val="2"/>
          <w:numId w:val="3"/>
        </w:numPr>
        <w:spacing w:lineRule="auto" w:line="240" w:before="0" w:after="0"/>
        <w:ind w:left="714" w:hanging="357"/>
        <w:rPr>
          <w:rFonts w:ascii="Calibri" w:hAnsi="Calibri" w:cs="Calibri" w:asciiTheme="minorHAnsi" w:cstheme="minorHAnsi" w:hAnsiTheme="minorHAnsi"/>
          <w:szCs w:val="24"/>
        </w:rPr>
      </w:pPr>
      <w:r>
        <w:rPr>
          <w:rFonts w:cs="Calibri" w:cstheme="minorHAnsi"/>
          <w:szCs w:val="24"/>
        </w:rPr>
        <w:t>Uma etapa será considerada efetivamente concluída quando os serviços previstos para aquela etapa, no Cronograma Físico-Financeiro, estiverem executados em sua totalidade e aceitos pela CONTRATANTE.</w:t>
      </w:r>
    </w:p>
    <w:p>
      <w:pPr>
        <w:pStyle w:val="Nivel2"/>
        <w:numPr>
          <w:ilvl w:val="2"/>
          <w:numId w:val="3"/>
        </w:numPr>
        <w:spacing w:lineRule="auto" w:line="240" w:before="0" w:after="0"/>
        <w:ind w:left="714" w:hanging="357"/>
        <w:rPr>
          <w:rFonts w:ascii="Calibri" w:hAnsi="Calibri" w:cs="Calibri" w:asciiTheme="minorHAnsi" w:cstheme="minorHAnsi" w:hAnsiTheme="minorHAnsi"/>
          <w:color w:val="auto"/>
          <w:szCs w:val="24"/>
        </w:rPr>
      </w:pPr>
      <w:r>
        <w:rPr>
          <w:rFonts w:cs="Calibri" w:cstheme="minorHAnsi"/>
          <w:szCs w:val="24"/>
        </w:rPr>
        <w:t xml:space="preserve">Os serviços serão recebidos provisoriamente, mediante termo detalhado, no prazo de 20 (vinte) </w:t>
      </w:r>
      <w:r>
        <w:rPr>
          <w:rFonts w:cs="Calibri" w:cstheme="minorHAnsi"/>
          <w:color w:val="auto"/>
          <w:szCs w:val="24"/>
        </w:rPr>
        <w:t>dias contados a partir da Aprovação do Projeto Básico, conforme cronograma físico-financeiro, pelo(a) responsável pelo acompanhamento e fiscalização do contrato, tendo sido verificado o cumprimento das exigências de caráter técnico.</w:t>
      </w:r>
    </w:p>
    <w:p>
      <w:pPr>
        <w:pStyle w:val="Nivel2"/>
        <w:numPr>
          <w:ilvl w:val="3"/>
          <w:numId w:val="3"/>
        </w:numPr>
        <w:spacing w:lineRule="auto" w:line="240" w:before="0" w:after="0"/>
        <w:ind w:left="1666" w:hanging="833"/>
        <w:rPr>
          <w:rFonts w:ascii="Calibri" w:hAnsi="Calibri" w:cs="Calibri" w:asciiTheme="minorHAnsi" w:cstheme="minorHAnsi" w:hAnsiTheme="minorHAnsi"/>
          <w:szCs w:val="24"/>
        </w:rPr>
      </w:pPr>
      <w:r>
        <w:rPr>
          <w:rFonts w:cs="Calibri" w:cstheme="minorHAnsi"/>
          <w:szCs w:val="24"/>
        </w:rPr>
        <w:t xml:space="preserve">Os documentos relativos ao orçamento de referência, integrantes do objeto deste Contrato: Planilha Orçamentária (de Estimativa de Preços), Planilha de Composição de Custos Unitários, Planilha Resumo dos Orçamentos, Curva ABC, Composição do BDI, Composição dos Encargos Sociais, Mapa Comparativo de Pesquisa de Preços eCronograma Físico-Financeiro </w:t>
      </w:r>
      <w:r>
        <w:rPr>
          <w:rFonts w:cs="Calibri" w:cstheme="minorHAnsi"/>
          <w:b/>
          <w:bCs/>
          <w:szCs w:val="24"/>
        </w:rPr>
        <w:t>deverão ser atualizados para as últimas versões existentes na data da formalização da aprovação do Projeto Básico, das pesquisas de preço utilizadas na referência, conforme Decreto nº 7.983/2013, item a item.</w:t>
      </w:r>
    </w:p>
    <w:p>
      <w:pPr>
        <w:pStyle w:val="Nivel2"/>
        <w:numPr>
          <w:ilvl w:val="3"/>
          <w:numId w:val="3"/>
        </w:numPr>
        <w:spacing w:lineRule="auto" w:line="240" w:before="0" w:after="0"/>
        <w:ind w:left="1666" w:hanging="833"/>
        <w:rPr>
          <w:rFonts w:ascii="Calibri" w:hAnsi="Calibri" w:cs="Calibri" w:asciiTheme="minorHAnsi" w:cstheme="minorHAnsi" w:hAnsiTheme="minorHAnsi"/>
          <w:color w:val="auto"/>
          <w:szCs w:val="24"/>
        </w:rPr>
      </w:pPr>
      <w:r>
        <w:rPr>
          <w:rFonts w:cs="Calibri" w:cstheme="minorHAnsi"/>
          <w:bCs/>
          <w:color w:val="auto"/>
          <w:szCs w:val="24"/>
        </w:rPr>
        <w:t>A</w:t>
      </w:r>
      <w:r>
        <w:rPr>
          <w:rFonts w:cs="Calibri" w:cstheme="minorHAnsi"/>
          <w:szCs w:val="24"/>
        </w:rPr>
        <w:t>CONTRATADA</w:t>
      </w:r>
      <w:r>
        <w:rPr>
          <w:rFonts w:cs="Calibri" w:cstheme="minorHAnsi"/>
          <w:bCs/>
          <w:color w:val="auto"/>
          <w:szCs w:val="24"/>
        </w:rPr>
        <w:t xml:space="preserve"> realizará inspeção minuciosa de todos os serviços executados, por meio de profissionais técnicos competentes, acompanhados dos </w:t>
      </w:r>
      <w:r>
        <w:rPr>
          <w:rFonts w:cs="Calibri" w:cstheme="minorHAnsi"/>
          <w:color w:val="auto"/>
          <w:szCs w:val="24"/>
        </w:rPr>
        <w:t>profissionais</w:t>
      </w:r>
      <w:r>
        <w:rPr>
          <w:rFonts w:cs="Calibri" w:cstheme="minorHAnsi"/>
          <w:bCs/>
          <w:color w:val="auto"/>
          <w:szCs w:val="24"/>
        </w:rPr>
        <w:t xml:space="preserve"> encarregados pelo serviço, com a finalidade de verificar a adequação dos serviços e constatar e relacionar as correções e revisões finais que se fizerem necessárias.</w:t>
      </w:r>
    </w:p>
    <w:p>
      <w:pPr>
        <w:pStyle w:val="ListParagraph"/>
        <w:numPr>
          <w:ilvl w:val="4"/>
          <w:numId w:val="3"/>
        </w:numPr>
        <w:tabs>
          <w:tab w:val="left" w:pos="567" w:leader="none"/>
        </w:tabs>
        <w:spacing w:lineRule="auto" w:line="240" w:before="0" w:after="0"/>
        <w:contextualSpacing/>
        <w:jc w:val="both"/>
        <w:rPr>
          <w:rFonts w:cs="Calibri" w:cstheme="minorHAnsi"/>
          <w:vanish/>
          <w:color w:val="000000"/>
          <w:szCs w:val="24"/>
        </w:rPr>
      </w:pPr>
      <w:r>
        <w:rPr>
          <w:rFonts w:cs="Calibri" w:cstheme="minorHAnsi"/>
          <w:vanish/>
          <w:color w:val="000000"/>
          <w:szCs w:val="24"/>
        </w:rPr>
      </w:r>
    </w:p>
    <w:p>
      <w:pPr>
        <w:pStyle w:val="Nivel2"/>
        <w:numPr>
          <w:ilvl w:val="4"/>
          <w:numId w:val="3"/>
        </w:numPr>
        <w:spacing w:lineRule="auto" w:line="240" w:before="0" w:after="0"/>
        <w:rPr>
          <w:rFonts w:ascii="Calibri" w:hAnsi="Calibri" w:cs="Calibri" w:asciiTheme="minorHAnsi" w:cstheme="minorHAnsi" w:hAnsiTheme="minorHAnsi"/>
          <w:color w:val="auto"/>
          <w:szCs w:val="24"/>
        </w:rPr>
      </w:pPr>
      <w:r>
        <w:rPr>
          <w:rFonts w:cs="Calibri" w:cstheme="minorHAnsi"/>
          <w:szCs w:val="24"/>
        </w:rPr>
        <w:t>Para efeito de recebimento provisório, ao final de cada etapa e após a apresentação da medição prévia pelaCONTRATADA,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pPr>
        <w:pStyle w:val="Nivel2"/>
        <w:numPr>
          <w:ilvl w:val="4"/>
          <w:numId w:val="3"/>
        </w:numPr>
        <w:spacing w:lineRule="auto" w:line="240" w:before="0" w:after="0"/>
        <w:rPr>
          <w:rFonts w:ascii="Calibri" w:hAnsi="Calibri" w:cs="Calibri" w:asciiTheme="minorHAnsi" w:cstheme="minorHAnsi" w:hAnsiTheme="minorHAnsi"/>
          <w:color w:val="auto"/>
          <w:szCs w:val="24"/>
        </w:rPr>
      </w:pPr>
      <w:r>
        <w:rPr>
          <w:rFonts w:cs="Calibri" w:cstheme="minorHAnsi"/>
          <w:szCs w:val="24"/>
        </w:rPr>
        <w:t>Em caso de rejeição, o fiscal fixará prazo para que a irregularidade seja sanada, às custas da CONTRATADA, sem prejuízo da aplicação de penalidades cabíveis.</w:t>
      </w:r>
    </w:p>
    <w:p>
      <w:pPr>
        <w:pStyle w:val="Nivel2"/>
        <w:numPr>
          <w:ilvl w:val="4"/>
          <w:numId w:val="3"/>
        </w:numPr>
        <w:spacing w:lineRule="auto" w:line="240" w:before="0" w:after="0"/>
        <w:rPr>
          <w:rFonts w:ascii="Calibri" w:hAnsi="Calibri" w:cs="Calibri" w:asciiTheme="minorHAnsi" w:cstheme="minorHAnsi" w:hAnsiTheme="minorHAnsi"/>
          <w:color w:val="auto"/>
          <w:szCs w:val="24"/>
        </w:rPr>
      </w:pPr>
      <w:r>
        <w:rPr>
          <w:rFonts w:cs="Calibri" w:cstheme="minorHAnsi"/>
          <w:szCs w:val="24"/>
        </w:rPr>
        <w:t>Nesse caso, cabe à fiscalização não atestar a última e/ou única medição de serviços até que sejam sanadas todas as eventuais pendências que possam vir a ser apontadas no Recebimento Provisório.</w:t>
      </w:r>
    </w:p>
    <w:p>
      <w:pPr>
        <w:pStyle w:val="Nivel2"/>
        <w:numPr>
          <w:ilvl w:val="4"/>
          <w:numId w:val="3"/>
        </w:numPr>
        <w:spacing w:lineRule="auto" w:line="240" w:before="0" w:after="0"/>
        <w:rPr>
          <w:rFonts w:ascii="Calibri" w:hAnsi="Calibri" w:cs="Calibri" w:asciiTheme="minorHAnsi" w:cstheme="minorHAnsi" w:hAnsiTheme="minorHAnsi"/>
          <w:color w:val="auto"/>
          <w:szCs w:val="24"/>
        </w:rPr>
      </w:pPr>
      <w:r>
        <w:rPr>
          <w:rFonts w:cs="Calibri" w:cstheme="minorHAnsi"/>
          <w:szCs w:val="24"/>
        </w:rPr>
        <w:t>O Recebimento Provisório também ficará sujeito, quando cabível, à conclusão de todos os testes de campo e à entrega dos Manuais e Instruções exigíveis.</w:t>
      </w:r>
    </w:p>
    <w:p>
      <w:pPr>
        <w:pStyle w:val="Nivel2"/>
        <w:numPr>
          <w:ilvl w:val="4"/>
          <w:numId w:val="3"/>
        </w:numPr>
        <w:spacing w:lineRule="auto" w:line="240" w:before="0" w:after="0"/>
        <w:rPr>
          <w:rFonts w:ascii="Calibri" w:hAnsi="Calibri" w:cs="Calibri" w:asciiTheme="minorHAnsi" w:cstheme="minorHAnsi" w:hAnsiTheme="minorHAnsi"/>
          <w:color w:val="auto"/>
          <w:szCs w:val="24"/>
        </w:rPr>
      </w:pPr>
      <w:r>
        <w:rPr>
          <w:rFonts w:cs="Calibri" w:cstheme="minorHAnsi"/>
          <w:szCs w:val="24"/>
        </w:rPr>
        <w:t>A aprovação da medição prévia apresentada pelaCONTRATADA não a exime de qualquer das responsabilidades contratuais, nem implica aceitação definitiva dos serviços executados.</w:t>
      </w:r>
    </w:p>
    <w:p>
      <w:pPr>
        <w:pStyle w:val="Nivel2"/>
        <w:numPr>
          <w:ilvl w:val="4"/>
          <w:numId w:val="3"/>
        </w:numPr>
        <w:spacing w:lineRule="auto" w:line="240" w:before="0" w:after="0"/>
        <w:rPr>
          <w:rFonts w:ascii="Calibri" w:hAnsi="Calibri" w:cs="Calibri" w:asciiTheme="minorHAnsi" w:cstheme="minorHAnsi" w:hAnsiTheme="minorHAnsi"/>
          <w:color w:val="auto"/>
          <w:szCs w:val="24"/>
        </w:rPr>
      </w:pPr>
      <w:r>
        <w:rPr>
          <w:rFonts w:cs="Calibri" w:cstheme="minorHAnsi"/>
          <w:szCs w:val="24"/>
        </w:rPr>
        <w:t>ACONTRATADA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pPr>
        <w:pStyle w:val="Nivel2"/>
        <w:numPr>
          <w:ilvl w:val="3"/>
          <w:numId w:val="3"/>
        </w:numPr>
        <w:spacing w:lineRule="auto" w:line="240" w:before="0" w:after="0"/>
        <w:ind w:left="1666" w:hanging="833"/>
        <w:rPr>
          <w:rFonts w:ascii="Calibri" w:hAnsi="Calibri" w:cs="Calibri" w:asciiTheme="minorHAnsi" w:cstheme="minorHAnsi" w:hAnsiTheme="minorHAnsi"/>
          <w:color w:val="auto"/>
          <w:szCs w:val="24"/>
        </w:rPr>
      </w:pPr>
      <w:r>
        <w:rPr>
          <w:rFonts w:cs="Calibri" w:cstheme="minorHAnsi"/>
          <w:szCs w:val="24"/>
        </w:rPr>
        <w:t xml:space="preserve">No prazo supracitado para o Recebimento Provisório, cada fiscal ou a equipe de </w:t>
      </w:r>
      <w:r>
        <w:rPr>
          <w:rFonts w:cs="Calibri" w:cstheme="minorHAnsi"/>
          <w:bCs/>
          <w:color w:val="auto"/>
          <w:szCs w:val="24"/>
        </w:rPr>
        <w:t>fiscalização</w:t>
      </w:r>
      <w:r>
        <w:rPr>
          <w:rFonts w:cs="Calibri" w:cstheme="minorHAnsi"/>
          <w:szCs w:val="24"/>
        </w:rPr>
        <w:t xml:space="preserve"> deverá elaborar Relatório Circunstanciado em consonância com suas atribuições, e encaminhá-lo ao gestor do contrato.</w:t>
      </w:r>
    </w:p>
    <w:p>
      <w:pPr>
        <w:pStyle w:val="ListParagraph"/>
        <w:numPr>
          <w:ilvl w:val="4"/>
          <w:numId w:val="3"/>
        </w:numPr>
        <w:tabs>
          <w:tab w:val="left" w:pos="567" w:leader="none"/>
        </w:tabs>
        <w:spacing w:lineRule="auto" w:line="240" w:before="0" w:after="0"/>
        <w:contextualSpacing/>
        <w:jc w:val="both"/>
        <w:rPr>
          <w:rFonts w:cs="Calibri" w:cstheme="minorHAnsi"/>
          <w:vanish/>
          <w:color w:val="000000"/>
          <w:szCs w:val="24"/>
        </w:rPr>
      </w:pPr>
      <w:r>
        <w:rPr>
          <w:rFonts w:cs="Calibri" w:cstheme="minorHAnsi"/>
          <w:vanish/>
          <w:color w:val="000000"/>
          <w:szCs w:val="24"/>
        </w:rPr>
      </w:r>
    </w:p>
    <w:p>
      <w:pPr>
        <w:pStyle w:val="Nivel2"/>
        <w:numPr>
          <w:ilvl w:val="4"/>
          <w:numId w:val="3"/>
        </w:numPr>
        <w:spacing w:lineRule="auto" w:line="240" w:before="0" w:after="0"/>
        <w:rPr>
          <w:rFonts w:ascii="Calibri" w:hAnsi="Calibri" w:cs="Calibri" w:asciiTheme="minorHAnsi" w:cstheme="minorHAnsi" w:hAnsiTheme="minorHAnsi"/>
          <w:color w:val="auto"/>
          <w:szCs w:val="24"/>
        </w:rPr>
      </w:pPr>
      <w:r>
        <w:rPr>
          <w:rFonts w:cs="Calibri" w:cstheme="minorHAnsi"/>
          <w:szCs w:val="24"/>
        </w:rPr>
        <w:t>Quando a fiscalização for exercida por um único servidor, o relatório circunstanciado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pPr>
        <w:pStyle w:val="Nivel2"/>
        <w:numPr>
          <w:ilvl w:val="2"/>
          <w:numId w:val="3"/>
        </w:numPr>
        <w:spacing w:lineRule="auto" w:line="240" w:before="0" w:after="0"/>
        <w:ind w:left="714" w:hanging="357"/>
        <w:rPr>
          <w:rFonts w:ascii="Calibri" w:hAnsi="Calibri" w:cs="Calibri" w:asciiTheme="minorHAnsi" w:cstheme="minorHAnsi" w:hAnsiTheme="minorHAnsi"/>
          <w:color w:val="auto"/>
          <w:szCs w:val="24"/>
        </w:rPr>
      </w:pPr>
      <w:r>
        <w:rPr>
          <w:rFonts w:cs="Calibri" w:cstheme="minorHAnsi"/>
          <w:bCs/>
          <w:color w:val="auto"/>
          <w:szCs w:val="24"/>
        </w:rPr>
        <w:t xml:space="preserve">Os </w:t>
      </w:r>
      <w:r>
        <w:rPr>
          <w:rFonts w:cs="Calibri" w:cstheme="minorHAnsi"/>
          <w:szCs w:val="24"/>
        </w:rPr>
        <w:t>serviços</w:t>
      </w:r>
      <w:r>
        <w:rPr>
          <w:rFonts w:cs="Calibri" w:cstheme="minorHAnsi"/>
          <w:bCs/>
          <w:color w:val="auto"/>
          <w:szCs w:val="24"/>
        </w:rPr>
        <w:t xml:space="preserve"> poderão ser rejeitados, no todo ou em parte, quando em desacordo com as especificações constantes neste Termo de Referência e na proposta, devendo sercorrigidos/refeitos/substituídos no praz</w:t>
      </w:r>
      <w:r>
        <w:rPr>
          <w:rFonts w:cs="Calibri" w:cstheme="minorHAnsi"/>
          <w:bCs/>
          <w:szCs w:val="24"/>
        </w:rPr>
        <w:t xml:space="preserve">o a ser definido pela fiscalização, a </w:t>
      </w:r>
      <w:r>
        <w:rPr>
          <w:rFonts w:cs="Calibri" w:cstheme="minorHAnsi"/>
          <w:bCs/>
          <w:color w:val="auto"/>
          <w:szCs w:val="24"/>
        </w:rPr>
        <w:t xml:space="preserve">contar da notificação da </w:t>
      </w:r>
      <w:r>
        <w:rPr>
          <w:rFonts w:cs="Calibri" w:cstheme="minorHAnsi"/>
          <w:szCs w:val="24"/>
        </w:rPr>
        <w:t>CONTRATADA</w:t>
      </w:r>
      <w:r>
        <w:rPr>
          <w:rFonts w:cs="Calibri" w:cstheme="minorHAnsi"/>
          <w:bCs/>
          <w:color w:val="auto"/>
          <w:szCs w:val="24"/>
        </w:rPr>
        <w:t>, às suas custas, sem prejuízo da aplicação das penalidades.</w:t>
      </w:r>
    </w:p>
    <w:p>
      <w:pPr>
        <w:pStyle w:val="Nivel2"/>
        <w:numPr>
          <w:ilvl w:val="2"/>
          <w:numId w:val="3"/>
        </w:numPr>
        <w:spacing w:lineRule="auto" w:line="240" w:before="0" w:after="0"/>
        <w:ind w:left="714" w:hanging="357"/>
        <w:rPr>
          <w:rFonts w:ascii="Calibri" w:hAnsi="Calibri" w:cs="Calibri" w:asciiTheme="minorHAnsi" w:cstheme="minorHAnsi" w:hAnsiTheme="minorHAnsi"/>
          <w:color w:val="auto"/>
          <w:szCs w:val="24"/>
        </w:rPr>
      </w:pPr>
      <w:r>
        <w:rPr>
          <w:rFonts w:cs="Calibri" w:cstheme="minorHAnsi"/>
          <w:bCs/>
          <w:color w:val="auto"/>
          <w:szCs w:val="24"/>
        </w:rPr>
        <w:t xml:space="preserve">Os serviços serão recebidos definitivamente no prazo </w:t>
      </w:r>
      <w:r>
        <w:rPr>
          <w:rFonts w:cs="Calibri" w:cstheme="minorHAnsi"/>
          <w:bCs/>
          <w:szCs w:val="24"/>
        </w:rPr>
        <w:t>de 10 (dez) d</w:t>
      </w:r>
      <w:r>
        <w:rPr>
          <w:rFonts w:cs="Calibri" w:cstheme="minorHAnsi"/>
          <w:bCs/>
          <w:color w:val="auto"/>
          <w:szCs w:val="24"/>
        </w:rPr>
        <w:t xml:space="preserve">ias, contados do Recebimento Provisório </w:t>
      </w:r>
      <w:r>
        <w:rPr>
          <w:rFonts w:cs="Calibri" w:cstheme="minorHAnsi"/>
          <w:color w:val="auto"/>
          <w:szCs w:val="24"/>
        </w:rPr>
        <w:t>por servidor ou comissão designada pela autoridade competente, a</w:t>
      </w:r>
      <w:r>
        <w:rPr>
          <w:rFonts w:cs="Calibri" w:cstheme="minorHAnsi"/>
          <w:bCs/>
          <w:color w:val="auto"/>
          <w:szCs w:val="24"/>
        </w:rPr>
        <w:t>pós a verificação da qualidade e quantidade do serviço e consequente aceitação mediante termo detalhado, obedecendo às seguintes diretrizes:</w:t>
      </w:r>
    </w:p>
    <w:p>
      <w:pPr>
        <w:pStyle w:val="Nivel2"/>
        <w:numPr>
          <w:ilvl w:val="3"/>
          <w:numId w:val="3"/>
        </w:numPr>
        <w:spacing w:lineRule="auto" w:line="240" w:before="0" w:after="0"/>
        <w:ind w:left="1666" w:hanging="833"/>
        <w:rPr>
          <w:rFonts w:ascii="Calibri" w:hAnsi="Calibri" w:cs="Calibri" w:asciiTheme="minorHAnsi" w:cstheme="minorHAnsi" w:hAnsiTheme="minorHAnsi"/>
          <w:szCs w:val="24"/>
        </w:rPr>
      </w:pPr>
      <w:r>
        <w:rPr>
          <w:rFonts w:cs="Calibri" w:cstheme="minorHAnsi"/>
          <w:szCs w:val="24"/>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pPr>
        <w:pStyle w:val="Nivel2"/>
        <w:numPr>
          <w:ilvl w:val="3"/>
          <w:numId w:val="3"/>
        </w:numPr>
        <w:spacing w:lineRule="auto" w:line="240" w:before="0" w:after="0"/>
        <w:ind w:left="1666" w:hanging="833"/>
        <w:rPr>
          <w:rFonts w:ascii="Calibri" w:hAnsi="Calibri" w:cs="Calibri" w:asciiTheme="minorHAnsi" w:cstheme="minorHAnsi" w:hAnsiTheme="minorHAnsi"/>
          <w:szCs w:val="24"/>
        </w:rPr>
      </w:pPr>
      <w:r>
        <w:rPr>
          <w:rFonts w:cs="Calibri" w:cstheme="minorHAnsi"/>
          <w:szCs w:val="24"/>
        </w:rPr>
        <w:t>Emitir Termo Circunstanciado para efeito de Recebimento Definitivo dos serviços prestados, com base nos relatórios e documentações apresentadas; e</w:t>
      </w:r>
    </w:p>
    <w:p>
      <w:pPr>
        <w:pStyle w:val="Nivel2"/>
        <w:numPr>
          <w:ilvl w:val="3"/>
          <w:numId w:val="3"/>
        </w:numPr>
        <w:spacing w:lineRule="auto" w:line="240" w:before="0" w:after="0"/>
        <w:ind w:left="1666" w:hanging="833"/>
        <w:rPr>
          <w:rFonts w:ascii="Calibri" w:hAnsi="Calibri" w:cs="Calibri" w:asciiTheme="minorHAnsi" w:cstheme="minorHAnsi" w:hAnsiTheme="minorHAnsi"/>
          <w:szCs w:val="24"/>
        </w:rPr>
      </w:pPr>
      <w:r>
        <w:rPr>
          <w:rFonts w:cs="Calibri" w:cstheme="minorHAnsi"/>
          <w:szCs w:val="24"/>
        </w:rPr>
        <w:t>Comunicar a empresa para que emita a Nota Fiscal ou Fatura, com o valor exato dimensionado pela fiscalização.</w:t>
      </w:r>
    </w:p>
    <w:p>
      <w:pPr>
        <w:pStyle w:val="Nivel2"/>
        <w:numPr>
          <w:ilvl w:val="2"/>
          <w:numId w:val="3"/>
        </w:numPr>
        <w:spacing w:lineRule="auto" w:line="240" w:before="0" w:after="0"/>
        <w:ind w:left="714" w:hanging="357"/>
        <w:rPr/>
      </w:pPr>
      <w:r>
        <w:rPr>
          <w:rFonts w:cs="Calibri" w:cstheme="minorHAnsi"/>
          <w:szCs w:val="24"/>
        </w:rPr>
        <w:t xml:space="preserve">O Recebimento Provisório ou Definitivo não excluirá a responsabilidade civil pela solidez e </w:t>
      </w:r>
      <w:r>
        <w:rPr>
          <w:rFonts w:cs="Calibri" w:cstheme="minorHAnsi"/>
          <w:bCs/>
          <w:color w:val="auto"/>
          <w:szCs w:val="24"/>
        </w:rPr>
        <w:t>pela</w:t>
      </w:r>
      <w:r>
        <w:rPr>
          <w:rFonts w:cs="Calibri" w:cstheme="minorHAnsi"/>
          <w:szCs w:val="24"/>
        </w:rPr>
        <w:t xml:space="preserve"> segurança do serviço nem a responsabilidade ético-profissional pela perfeita execução do contrato.</w:t>
      </w:r>
    </w:p>
    <w:p>
      <w:pPr>
        <w:pStyle w:val="Nivel2"/>
        <w:spacing w:lineRule="auto" w:line="240" w:before="0" w:after="0"/>
        <w:ind w:left="357" w:hanging="0"/>
        <w:rPr/>
      </w:pPr>
      <w:r>
        <w:rPr/>
      </w:r>
    </w:p>
    <w:p>
      <w:pPr>
        <w:pStyle w:val="Nivel2"/>
        <w:spacing w:lineRule="auto" w:line="240" w:before="0" w:after="0"/>
        <w:ind w:left="357" w:hanging="0"/>
        <w:rPr/>
      </w:pPr>
      <w:r>
        <w:rPr/>
      </w:r>
    </w:p>
    <w:p>
      <w:pPr>
        <w:pStyle w:val="Nivel1"/>
        <w:numPr>
          <w:ilvl w:val="0"/>
          <w:numId w:val="3"/>
        </w:numPr>
        <w:spacing w:lineRule="auto" w:line="240" w:before="0" w:after="0"/>
        <w:rPr/>
      </w:pPr>
      <w:r>
        <w:rPr>
          <w:rFonts w:cs="Calibri" w:cstheme="minorHAnsi"/>
          <w:szCs w:val="24"/>
        </w:rPr>
        <w:t>FORMA E CRITÉRIOS DE SELEÇÃO DO FORNECEDOR MEDIANTE O USO DO SISTEMA DE DISPENSA ELETRÔNICA (art. 6º, inciso XXIII, alínea ‘h’, da Lei n. 14.133/2021).</w:t>
      </w:r>
    </w:p>
    <w:p>
      <w:pPr>
        <w:pStyle w:val="Nivel1"/>
        <w:numPr>
          <w:ilvl w:val="1"/>
          <w:numId w:val="3"/>
        </w:numPr>
        <w:spacing w:lineRule="auto" w:line="240" w:before="0" w:after="0"/>
        <w:ind w:left="340" w:hanging="340"/>
        <w:rPr>
          <w:rFonts w:ascii="Calibri" w:hAnsi="Calibri" w:cs="Calibri" w:asciiTheme="minorHAnsi" w:cstheme="minorHAnsi" w:hAnsiTheme="minorHAnsi"/>
          <w:b w:val="false"/>
          <w:b w:val="false"/>
          <w:szCs w:val="24"/>
        </w:rPr>
      </w:pPr>
      <w:r>
        <w:rPr>
          <w:rFonts w:cs="Calibri" w:cstheme="minorHAnsi"/>
          <w:b w:val="false"/>
          <w:szCs w:val="24"/>
        </w:rPr>
        <w:t>O fornecedor será selecionado por meio da realização de procedimento de dispensa de licitação, na forma eletrônica, com fundamento na hipótese do art. 75, inciso I da Lei n.º 14.133/2021, que culminará com a seleção da proposta de menor preço por item.</w:t>
      </w:r>
    </w:p>
    <w:p>
      <w:pPr>
        <w:pStyle w:val="Nivel1"/>
        <w:numPr>
          <w:ilvl w:val="1"/>
          <w:numId w:val="3"/>
        </w:numPr>
        <w:spacing w:lineRule="auto" w:line="240" w:before="0" w:after="0"/>
        <w:ind w:left="340" w:hanging="340"/>
        <w:rPr>
          <w:rFonts w:ascii="Calibri" w:hAnsi="Calibri" w:cs="Calibri" w:asciiTheme="minorHAnsi" w:cstheme="minorHAnsi" w:hAnsiTheme="minorHAnsi"/>
          <w:b w:val="false"/>
          <w:b w:val="false"/>
          <w:szCs w:val="24"/>
        </w:rPr>
      </w:pPr>
      <w:r>
        <w:rPr>
          <w:rFonts w:cs="Calibri" w:cstheme="minorHAnsi"/>
          <w:b w:val="false"/>
          <w:szCs w:val="24"/>
        </w:rPr>
        <w:t>As exigências de habilitação jurídica, fiscal, social e trabalhista são as usuais para a generalidade dos objetos, conforme disciplinado no Anexo I do Aviso de Contratação Direta.</w:t>
      </w:r>
    </w:p>
    <w:p>
      <w:pPr>
        <w:pStyle w:val="Nivel1"/>
        <w:numPr>
          <w:ilvl w:val="1"/>
          <w:numId w:val="3"/>
        </w:numPr>
        <w:spacing w:lineRule="auto" w:line="240" w:before="0" w:after="0"/>
        <w:ind w:left="340" w:hanging="340"/>
        <w:rPr>
          <w:rFonts w:cs="Calibri" w:cstheme="minorHAnsi"/>
          <w:b w:val="false"/>
          <w:b w:val="false"/>
          <w:szCs w:val="24"/>
        </w:rPr>
      </w:pPr>
      <w:r>
        <w:rPr>
          <w:rFonts w:cs="Calibri" w:cstheme="minorHAnsi"/>
          <w:b w:val="false"/>
          <w:szCs w:val="24"/>
        </w:rPr>
        <w:t>Os critérios de habilitação econômico-financeira e habilitação técnica a serem atendidos pelo fornecedor estão previstos no Anexo I do Aviso de Contratação Direta.</w:t>
      </w:r>
    </w:p>
    <w:p>
      <w:pPr>
        <w:pStyle w:val="Normal"/>
        <w:rPr/>
      </w:pPr>
      <w:r>
        <w:rPr/>
      </w:r>
    </w:p>
    <w:p>
      <w:pPr>
        <w:pStyle w:val="Nivel1"/>
        <w:numPr>
          <w:ilvl w:val="0"/>
          <w:numId w:val="3"/>
        </w:numPr>
        <w:spacing w:lineRule="auto" w:line="240" w:before="0" w:after="0"/>
        <w:rPr>
          <w:rFonts w:ascii="Calibri" w:hAnsi="Calibri" w:cs="Calibri" w:asciiTheme="minorHAnsi" w:cstheme="minorHAnsi" w:hAnsiTheme="minorHAnsi"/>
          <w:szCs w:val="24"/>
        </w:rPr>
      </w:pPr>
      <w:r>
        <w:rPr>
          <w:rFonts w:cs="Calibri" w:cstheme="minorHAnsi"/>
          <w:szCs w:val="24"/>
        </w:rPr>
        <w:t xml:space="preserve">ADEQUAÇÃO ORÇAMENTÁRIA </w:t>
      </w:r>
    </w:p>
    <w:p>
      <w:pPr>
        <w:pStyle w:val="Nivel1"/>
        <w:numPr>
          <w:ilvl w:val="1"/>
          <w:numId w:val="3"/>
        </w:numPr>
        <w:spacing w:lineRule="auto" w:line="240" w:before="0" w:after="0"/>
        <w:ind w:left="340" w:hanging="340"/>
        <w:rPr>
          <w:rFonts w:ascii="Calibri" w:hAnsi="Calibri" w:cs="Calibri" w:asciiTheme="minorHAnsi" w:cstheme="minorHAnsi" w:hAnsiTheme="minorHAnsi"/>
          <w:b w:val="false"/>
          <w:b w:val="false"/>
          <w:szCs w:val="24"/>
        </w:rPr>
      </w:pPr>
      <w:r>
        <w:rPr>
          <w:rFonts w:cs="Calibri" w:cstheme="minorHAnsi"/>
          <w:b w:val="false"/>
          <w:szCs w:val="24"/>
        </w:rPr>
        <w:t>As despesas decorrentes da presente contratação correrão à conta de recursos específicos consignados no Orçamento Geral da União.</w:t>
      </w:r>
    </w:p>
    <w:p>
      <w:pPr>
        <w:pStyle w:val="Nivel1"/>
        <w:numPr>
          <w:ilvl w:val="1"/>
          <w:numId w:val="3"/>
        </w:numPr>
        <w:spacing w:lineRule="auto" w:line="240" w:before="0" w:after="0"/>
        <w:ind w:left="340" w:hanging="340"/>
        <w:rPr>
          <w:rFonts w:ascii="Calibri" w:hAnsi="Calibri" w:cs="Calibri" w:asciiTheme="minorHAnsi" w:cstheme="minorHAnsi" w:hAnsiTheme="minorHAnsi"/>
          <w:b w:val="false"/>
          <w:b w:val="false"/>
          <w:szCs w:val="24"/>
        </w:rPr>
      </w:pPr>
      <w:r>
        <w:rPr>
          <w:rFonts w:cs="Calibri" w:cstheme="minorHAnsi"/>
          <w:b w:val="false"/>
          <w:szCs w:val="24"/>
        </w:rPr>
        <w:t>A contratação será atendida pela seguinte dotação:</w:t>
      </w:r>
    </w:p>
    <w:p>
      <w:pPr>
        <w:pStyle w:val="Normal"/>
        <w:spacing w:lineRule="auto" w:line="240" w:before="0" w:after="0"/>
        <w:ind w:left="1133" w:firstLine="283"/>
        <w:jc w:val="both"/>
        <w:rPr>
          <w:rFonts w:ascii="Calibri" w:hAnsi="Calibri" w:cs="Calibri" w:asciiTheme="minorHAnsi" w:cstheme="minorHAnsi" w:hAnsiTheme="minorHAnsi"/>
          <w:color w:val="000000"/>
          <w:sz w:val="24"/>
          <w:szCs w:val="24"/>
        </w:rPr>
      </w:pPr>
      <w:r>
        <w:rPr>
          <w:rFonts w:cs="Calibri" w:cstheme="minorHAnsi"/>
          <w:color w:val="000000"/>
          <w:sz w:val="24"/>
          <w:szCs w:val="24"/>
        </w:rPr>
        <w:t>Gestão/Unidade: 731060;</w:t>
      </w:r>
    </w:p>
    <w:p>
      <w:pPr>
        <w:pStyle w:val="Normal"/>
        <w:spacing w:lineRule="auto" w:line="240" w:before="0" w:after="0"/>
        <w:ind w:left="850" w:firstLine="566"/>
        <w:jc w:val="both"/>
        <w:rPr>
          <w:rFonts w:ascii="Calibri" w:hAnsi="Calibri" w:cs="Calibri" w:asciiTheme="minorHAnsi" w:cstheme="minorHAnsi" w:hAnsiTheme="minorHAnsi"/>
          <w:color w:val="000000"/>
          <w:sz w:val="24"/>
          <w:szCs w:val="24"/>
        </w:rPr>
      </w:pPr>
      <w:r>
        <w:rPr>
          <w:rFonts w:cs="Calibri" w:cstheme="minorHAnsi"/>
          <w:color w:val="000000"/>
          <w:sz w:val="24"/>
          <w:szCs w:val="24"/>
        </w:rPr>
        <w:t>Fonte de Recursos: 1000000000;</w:t>
      </w:r>
    </w:p>
    <w:p>
      <w:pPr>
        <w:pStyle w:val="Normal"/>
        <w:spacing w:lineRule="auto" w:line="240" w:before="0" w:after="0"/>
        <w:ind w:left="1133" w:firstLine="283"/>
        <w:jc w:val="both"/>
        <w:rPr>
          <w:rFonts w:ascii="Calibri" w:hAnsi="Calibri" w:cs="Calibri" w:asciiTheme="minorHAnsi" w:cstheme="minorHAnsi" w:hAnsiTheme="minorHAnsi"/>
          <w:color w:val="000000"/>
          <w:sz w:val="24"/>
          <w:szCs w:val="24"/>
        </w:rPr>
      </w:pPr>
      <w:r>
        <w:rPr>
          <w:rFonts w:cs="Calibri" w:cstheme="minorHAnsi"/>
          <w:color w:val="000000"/>
          <w:sz w:val="24"/>
          <w:szCs w:val="24"/>
        </w:rPr>
        <w:t>Programa de Trabalho: 174713;</w:t>
      </w:r>
    </w:p>
    <w:p>
      <w:pPr>
        <w:pStyle w:val="Normal"/>
        <w:spacing w:lineRule="auto" w:line="240" w:before="0" w:after="0"/>
        <w:ind w:left="850" w:firstLine="566"/>
        <w:jc w:val="both"/>
        <w:rPr>
          <w:rFonts w:ascii="Calibri" w:hAnsi="Calibri" w:cs="Calibri" w:asciiTheme="minorHAnsi" w:cstheme="minorHAnsi" w:hAnsiTheme="minorHAnsi"/>
          <w:color w:val="000000"/>
          <w:sz w:val="24"/>
          <w:szCs w:val="24"/>
        </w:rPr>
      </w:pPr>
      <w:r>
        <w:rPr>
          <w:rFonts w:cs="Calibri" w:cstheme="minorHAnsi"/>
          <w:color w:val="000000"/>
          <w:sz w:val="24"/>
          <w:szCs w:val="24"/>
        </w:rPr>
        <w:t>Elemento de Despesa: 339039; e</w:t>
      </w:r>
    </w:p>
    <w:p>
      <w:pPr>
        <w:pStyle w:val="Normal"/>
        <w:spacing w:lineRule="auto" w:line="240" w:before="0" w:after="0"/>
        <w:ind w:left="850" w:firstLine="566"/>
        <w:jc w:val="both"/>
        <w:rPr>
          <w:rFonts w:ascii="Calibri" w:hAnsi="Calibri" w:cs="Calibri" w:asciiTheme="minorHAnsi" w:cstheme="minorHAnsi" w:hAnsiTheme="minorHAnsi"/>
          <w:color w:val="000000"/>
          <w:sz w:val="24"/>
          <w:szCs w:val="24"/>
        </w:rPr>
      </w:pPr>
      <w:r>
        <w:rPr>
          <w:rFonts w:cs="Calibri" w:cstheme="minorHAnsi"/>
          <w:color w:val="000000"/>
          <w:sz w:val="24"/>
          <w:szCs w:val="24"/>
        </w:rPr>
        <w:t>Plano Interno: B441MRZ02DD.</w:t>
      </w:r>
    </w:p>
    <w:p>
      <w:pPr>
        <w:pStyle w:val="Normal"/>
        <w:spacing w:lineRule="auto" w:line="240" w:before="0" w:after="0"/>
        <w:jc w:val="both"/>
        <w:rPr>
          <w:rFonts w:ascii="Calibri" w:hAnsi="Calibri" w:cs="Calibri" w:asciiTheme="minorHAnsi" w:cstheme="minorHAnsi" w:hAnsiTheme="minorHAnsi"/>
          <w:color w:val="000000"/>
          <w:sz w:val="24"/>
          <w:szCs w:val="24"/>
          <w:highlight w:val="red"/>
        </w:rPr>
      </w:pPr>
      <w:r>
        <w:rPr>
          <w:rFonts w:cs="Calibri" w:cstheme="minorHAnsi"/>
          <w:color w:val="000000"/>
          <w:sz w:val="24"/>
          <w:szCs w:val="24"/>
          <w:highlight w:val="red"/>
        </w:rPr>
      </w:r>
    </w:p>
    <w:p>
      <w:pPr>
        <w:pStyle w:val="Nivel1"/>
        <w:numPr>
          <w:ilvl w:val="0"/>
          <w:numId w:val="3"/>
        </w:numPr>
        <w:spacing w:lineRule="auto" w:line="240" w:before="0" w:after="0"/>
        <w:rPr>
          <w:rFonts w:ascii="Calibri" w:hAnsi="Calibri" w:eastAsia="Calibri" w:cs="Calibri" w:asciiTheme="minorHAnsi" w:cstheme="minorHAnsi" w:hAnsiTheme="minorHAnsi"/>
          <w:bCs/>
          <w:color w:val="auto"/>
          <w:szCs w:val="24"/>
        </w:rPr>
      </w:pPr>
      <w:r>
        <w:rPr>
          <w:rFonts w:eastAsia="Calibri" w:cs="Calibri" w:cstheme="minorHAnsi"/>
          <w:bCs/>
          <w:color w:val="auto"/>
          <w:szCs w:val="24"/>
        </w:rPr>
        <w:t>APÊNDICES</w:t>
      </w:r>
    </w:p>
    <w:p>
      <w:pPr>
        <w:pStyle w:val="ListParagraph"/>
        <w:numPr>
          <w:ilvl w:val="1"/>
          <w:numId w:val="3"/>
        </w:numPr>
        <w:rPr/>
      </w:pPr>
      <w:r>
        <w:rPr/>
        <w:t>Estudos Técnicos Preliminares – Apêndice I;</w:t>
      </w:r>
    </w:p>
    <w:p>
      <w:pPr>
        <w:pStyle w:val="ListParagraph"/>
        <w:numPr>
          <w:ilvl w:val="1"/>
          <w:numId w:val="3"/>
        </w:numPr>
        <w:rPr/>
      </w:pPr>
      <w:r>
        <w:rPr/>
        <w:t>Planilha de Custo Estimado – Apêndice II;</w:t>
      </w:r>
    </w:p>
    <w:p>
      <w:pPr>
        <w:pStyle w:val="ListParagraph"/>
        <w:numPr>
          <w:ilvl w:val="1"/>
          <w:numId w:val="3"/>
        </w:numPr>
        <w:rPr/>
      </w:pPr>
      <w:r>
        <w:rPr/>
        <w:t>Modelo de Proposta de Preços – Apêndice III;</w:t>
      </w:r>
    </w:p>
    <w:p>
      <w:pPr>
        <w:pStyle w:val="ListParagraph"/>
        <w:numPr>
          <w:ilvl w:val="1"/>
          <w:numId w:val="3"/>
        </w:numPr>
        <w:rPr/>
      </w:pPr>
      <w:r>
        <w:rPr/>
        <w:t>Planilha Resumo do Orçamento – Apêndice IV;</w:t>
      </w:r>
    </w:p>
    <w:p>
      <w:pPr>
        <w:pStyle w:val="ListParagraph"/>
        <w:numPr>
          <w:ilvl w:val="1"/>
          <w:numId w:val="3"/>
        </w:numPr>
        <w:rPr/>
      </w:pPr>
      <w:r>
        <w:rPr/>
        <w:t>Cronograma Físico-Financeiro – Apêndice V;</w:t>
      </w:r>
    </w:p>
    <w:p>
      <w:pPr>
        <w:pStyle w:val="ListParagraph"/>
        <w:numPr>
          <w:ilvl w:val="1"/>
          <w:numId w:val="3"/>
        </w:numPr>
        <w:rPr/>
      </w:pPr>
      <w:r>
        <w:rPr/>
        <w:t>Curva ABC – Apêndice VI;</w:t>
      </w:r>
    </w:p>
    <w:p>
      <w:pPr>
        <w:pStyle w:val="ListParagraph"/>
        <w:numPr>
          <w:ilvl w:val="1"/>
          <w:numId w:val="3"/>
        </w:numPr>
        <w:rPr/>
      </w:pPr>
      <w:r>
        <w:rPr/>
        <w:t>Composição de Encargos Sociais – Apêndice VII; e</w:t>
      </w:r>
    </w:p>
    <w:p>
      <w:pPr>
        <w:pStyle w:val="ListParagraph"/>
        <w:numPr>
          <w:ilvl w:val="1"/>
          <w:numId w:val="3"/>
        </w:numPr>
        <w:rPr/>
      </w:pPr>
      <w:r>
        <w:rPr/>
        <w:t>Composição do BDI – Apêndice VIII.</w:t>
      </w:r>
    </w:p>
    <w:p>
      <w:pPr>
        <w:pStyle w:val="ListParagraph"/>
        <w:tabs>
          <w:tab w:val="left" w:pos="345" w:leader="none"/>
        </w:tabs>
        <w:spacing w:lineRule="auto" w:line="240" w:before="0" w:after="0"/>
        <w:ind w:left="432" w:hanging="357"/>
        <w:contextualSpacing/>
        <w:jc w:val="both"/>
        <w:rPr>
          <w:rFonts w:ascii="Calibri" w:hAnsi="Calibri" w:cs="Calibri" w:asciiTheme="minorHAnsi" w:cstheme="minorHAnsi" w:hAnsiTheme="minorHAnsi"/>
          <w:color w:val="000000"/>
          <w:szCs w:val="24"/>
        </w:rPr>
      </w:pPr>
      <w:r>
        <w:rPr>
          <w:rFonts w:cs="Calibri" w:cstheme="minorHAnsi"/>
          <w:color w:val="000000"/>
          <w:szCs w:val="24"/>
        </w:rPr>
      </w:r>
      <w:bookmarkStart w:id="14" w:name="_Hlk82473550"/>
      <w:bookmarkStart w:id="15" w:name="_Hlk82473550"/>
      <w:bookmarkEnd w:id="15"/>
    </w:p>
    <w:p>
      <w:pPr>
        <w:pStyle w:val="Normal"/>
        <w:spacing w:lineRule="auto" w:line="240" w:before="0" w:after="0"/>
        <w:ind w:left="360" w:hanging="357"/>
        <w:rPr>
          <w:rFonts w:cs="Calibri" w:cstheme="minorHAnsi"/>
          <w:color w:val="000000"/>
          <w:sz w:val="24"/>
          <w:szCs w:val="24"/>
        </w:rPr>
      </w:pPr>
      <w:r>
        <w:rPr>
          <w:rFonts w:cs="Calibri" w:cstheme="minorHAnsi"/>
          <w:color w:val="000000"/>
          <w:sz w:val="24"/>
          <w:szCs w:val="24"/>
        </w:rPr>
        <w:t>Rio de Janeiro, 15 de junho de 2023.</w:t>
      </w:r>
    </w:p>
    <w:p>
      <w:pPr>
        <w:pStyle w:val="Normal"/>
        <w:spacing w:lineRule="auto" w:line="240" w:before="0" w:after="0"/>
        <w:ind w:left="360" w:hanging="357"/>
        <w:rPr>
          <w:rFonts w:cs="Calibri" w:cstheme="minorHAnsi"/>
          <w:b/>
          <w:b/>
          <w:bCs/>
          <w:color w:val="000000"/>
          <w:sz w:val="24"/>
          <w:szCs w:val="24"/>
          <w:highlight w:val="yellow"/>
        </w:rPr>
      </w:pPr>
      <w:r>
        <w:rPr>
          <w:rFonts w:cs="Calibri" w:cstheme="minorHAnsi"/>
          <w:b/>
          <w:bCs/>
          <w:color w:val="000000"/>
          <w:sz w:val="24"/>
          <w:szCs w:val="24"/>
          <w:highlight w:val="yellow"/>
        </w:rPr>
      </w:r>
    </w:p>
    <w:p>
      <w:pPr>
        <w:pStyle w:val="Normal"/>
        <w:spacing w:lineRule="auto" w:line="240" w:before="0" w:after="0"/>
        <w:ind w:left="360" w:hanging="357"/>
        <w:rPr>
          <w:rFonts w:ascii="Calibri" w:hAnsi="Calibri" w:cs="Calibri" w:asciiTheme="minorHAnsi" w:cstheme="minorHAnsi" w:hAnsiTheme="minorHAnsi"/>
          <w:sz w:val="24"/>
          <w:szCs w:val="24"/>
          <w:highlight w:val="yellow"/>
        </w:rPr>
      </w:pPr>
      <w:r>
        <w:rPr>
          <w:rFonts w:cs="Calibri" w:cstheme="minorHAnsi"/>
          <w:sz w:val="24"/>
          <w:szCs w:val="24"/>
          <w:highlight w:val="yellow"/>
        </w:rPr>
      </w:r>
    </w:p>
    <w:p>
      <w:pPr>
        <w:pStyle w:val="Normal"/>
        <w:spacing w:lineRule="auto" w:line="240" w:before="0" w:after="0"/>
        <w:ind w:left="360" w:hanging="357"/>
        <w:rPr>
          <w:rFonts w:ascii="Calibri" w:hAnsi="Calibri" w:cs="Calibri" w:asciiTheme="minorHAnsi" w:cstheme="minorHAnsi" w:hAnsiTheme="minorHAnsi"/>
          <w:sz w:val="24"/>
          <w:szCs w:val="24"/>
        </w:rPr>
      </w:pPr>
      <w:r>
        <w:rPr>
          <w:rFonts w:cs="Calibri" w:cstheme="minorHAnsi"/>
          <w:sz w:val="24"/>
          <w:szCs w:val="24"/>
        </w:rPr>
        <w:t xml:space="preserve">                                                    </w:t>
      </w:r>
      <w:r>
        <w:rPr>
          <w:rFonts w:cs="Calibri" w:cstheme="minorHAnsi"/>
          <w:sz w:val="24"/>
          <w:szCs w:val="24"/>
        </w:rPr>
        <w:t>__________________________________</w:t>
      </w:r>
    </w:p>
    <w:p>
      <w:pPr>
        <w:pStyle w:val="Normal"/>
        <w:tabs>
          <w:tab w:val="clear" w:pos="357"/>
        </w:tabs>
        <w:spacing w:lineRule="auto" w:line="240" w:before="0" w:after="0"/>
        <w:ind w:left="360" w:right="0" w:hanging="0"/>
        <w:jc w:val="center"/>
        <w:rPr>
          <w:rFonts w:ascii="Calibri" w:hAnsi="Calibri"/>
          <w:color w:val="000000"/>
          <w:sz w:val="24"/>
          <w:szCs w:val="24"/>
        </w:rPr>
      </w:pPr>
      <w:r>
        <w:rPr>
          <w:rFonts w:ascii="Calibri" w:hAnsi="Calibri"/>
          <w:color w:val="000000"/>
          <w:sz w:val="24"/>
          <w:szCs w:val="24"/>
        </w:rPr>
        <w:t>LUCAS FIGUEIREDO GOMES</w:t>
      </w:r>
    </w:p>
    <w:p>
      <w:pPr>
        <w:pStyle w:val="Normal"/>
        <w:tabs>
          <w:tab w:val="clear" w:pos="357"/>
        </w:tabs>
        <w:spacing w:lineRule="auto" w:line="240" w:before="0" w:after="0"/>
        <w:ind w:left="360" w:right="0" w:hanging="0"/>
        <w:jc w:val="center"/>
        <w:rPr>
          <w:rFonts w:ascii="Calibri" w:hAnsi="Calibri"/>
          <w:color w:val="000000"/>
          <w:sz w:val="24"/>
          <w:szCs w:val="24"/>
        </w:rPr>
      </w:pPr>
      <w:r>
        <w:rPr>
          <w:rFonts w:ascii="Calibri" w:hAnsi="Calibri"/>
          <w:color w:val="000000"/>
          <w:sz w:val="24"/>
          <w:szCs w:val="24"/>
        </w:rPr>
        <w:t>Primeiro - Tenente (IM)</w:t>
      </w:r>
    </w:p>
    <w:p>
      <w:pPr>
        <w:pStyle w:val="Normal"/>
        <w:tabs>
          <w:tab w:val="clear" w:pos="357"/>
        </w:tabs>
        <w:spacing w:lineRule="auto" w:line="240" w:before="0" w:after="0"/>
        <w:ind w:left="360" w:right="0" w:hanging="0"/>
        <w:jc w:val="center"/>
        <w:rPr>
          <w:rFonts w:ascii="Calibri" w:hAnsi="Calibri" w:eastAsia="Times New Roman" w:cs="Times New Roman"/>
          <w:b w:val="false"/>
          <w:b w:val="false"/>
          <w:bCs w:val="false"/>
          <w:i w:val="false"/>
          <w:i w:val="false"/>
          <w:iCs w:val="false"/>
          <w:strike w:val="false"/>
          <w:dstrike w:val="false"/>
          <w:outline w:val="false"/>
          <w:shadow w:val="false"/>
          <w:color w:val="000000"/>
          <w:kern w:val="0"/>
          <w:sz w:val="24"/>
          <w:szCs w:val="24"/>
          <w:u w:val="none"/>
          <w:em w:val="none"/>
          <w:lang w:val="pt-BR" w:eastAsia="zh-CN" w:bidi="ar-SA"/>
        </w:rPr>
      </w:pPr>
      <w:r>
        <w:rPr>
          <w:rFonts w:eastAsia="Times New Roman" w:cs="Times New Roman" w:ascii="Calibri" w:hAnsi="Calibri"/>
          <w:b w:val="false"/>
          <w:bCs w:val="false"/>
          <w:i w:val="false"/>
          <w:iCs w:val="false"/>
          <w:strike w:val="false"/>
          <w:dstrike w:val="false"/>
          <w:outline w:val="false"/>
          <w:shadow w:val="false"/>
          <w:color w:val="000000"/>
          <w:kern w:val="0"/>
          <w:sz w:val="24"/>
          <w:szCs w:val="24"/>
          <w:u w:val="none"/>
          <w:em w:val="none"/>
          <w:lang w:val="pt-BR" w:eastAsia="zh-CN" w:bidi="ar-SA"/>
        </w:rPr>
        <w:t>Encarregado da Divisão de Municiamento</w:t>
      </w:r>
    </w:p>
    <w:sectPr>
      <w:footerReference w:type="default" r:id="rId3"/>
      <w:type w:val="nextPage"/>
      <w:pgSz w:w="11906" w:h="16838"/>
      <w:pgMar w:left="1635" w:right="1134" w:header="0" w:top="1701" w:footer="708" w:bottom="1134"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Arial">
    <w:charset w:val="01"/>
    <w:family w:val="roman"/>
    <w:pitch w:val="variable"/>
  </w:font>
  <w:font w:name="Calibri Light">
    <w:charset w:val="01"/>
    <w:family w:val="roman"/>
    <w:pitch w:val="variable"/>
  </w:font>
  <w:font w:name="Ecofont_Spranq_eco_Sans">
    <w:charset w:val="01"/>
    <w:family w:val="roman"/>
    <w:pitch w:val="variable"/>
  </w:font>
  <w:font w:name="Segoe UI">
    <w:charset w:val="01"/>
    <w:family w:val="roman"/>
    <w:pitch w:val="variable"/>
  </w:font>
  <w:font w:name="Liberation Sans">
    <w:altName w:val="Arial"/>
    <w:charset w:val="01"/>
    <w:family w:val="roman"/>
    <w:pitch w:val="variable"/>
  </w:font>
  <w:font w:name="Times New Roman">
    <w:charset w:val="01"/>
    <w:family w:val="roman"/>
    <w:pitch w:val="variable"/>
  </w:font>
  <w:font w:name="Calibri">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1"/>
      <w:rPr>
        <w:sz w:val="12"/>
        <w:szCs w:val="12"/>
      </w:rPr>
    </w:pPr>
    <w:r>
      <w:rPr>
        <w:sz w:val="12"/>
        <w:szCs w:val="12"/>
      </w:rPr>
      <w:t>Termo de Referência – Serviços Comuns de Engenharia – Lei nº 14.133/21 – Contratação Direta</w:t>
    </w:r>
  </w:p>
  <w:p>
    <w:pPr>
      <w:pStyle w:val="Rodap1"/>
      <w:rPr>
        <w:sz w:val="12"/>
        <w:szCs w:val="12"/>
      </w:rPr>
    </w:pPr>
    <w:r>
      <w:rPr>
        <w:sz w:val="12"/>
        <w:szCs w:val="12"/>
      </w:rPr>
      <w:t>Atualização: Junho/2022</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b/>
        <w:rFonts w:ascii="Calibri" w:hAnsi="Calibri"/>
        <w:color w:val="auto"/>
      </w:rPr>
    </w:lvl>
    <w:lvl w:ilvl="1">
      <w:start w:val="4"/>
      <w:numFmt w:val="decimal"/>
      <w:lvlText w:val="%1.%2"/>
      <w:lvlJc w:val="left"/>
      <w:pPr>
        <w:ind w:left="432" w:hanging="432"/>
      </w:pPr>
      <w:rPr>
        <w:dstrike w:val="false"/>
        <w:strike w:val="false"/>
        <w:i w:val="false"/>
        <w:u w:val="none"/>
        <w:b w:val="false"/>
        <w:effect w:val="none"/>
        <w:color w:val="auto"/>
      </w:rPr>
    </w:lvl>
    <w:lvl w:ilvl="2">
      <w:start w:val="1"/>
      <w:numFmt w:val="decimal"/>
      <w:lvlText w:val="%1.%2.%3"/>
      <w:lvlJc w:val="left"/>
      <w:pPr>
        <w:ind w:left="1072" w:hanging="504"/>
      </w:pPr>
      <w:rPr>
        <w:sz w:val="20"/>
        <w:i w:val="false"/>
        <w:b w:val="false"/>
        <w:szCs w:val="20"/>
        <w:color w:val="auto"/>
      </w:rPr>
    </w:lvl>
    <w:lvl w:ilvl="3">
      <w:start w:val="1"/>
      <w:numFmt w:val="decimal"/>
      <w:lvlText w:val="%1.%2.%3.%4"/>
      <w:lvlJc w:val="left"/>
      <w:pPr>
        <w:ind w:left="2491" w:hanging="648"/>
      </w:pPr>
      <w:rPr>
        <w:sz w:val="20"/>
        <w:szCs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1"/>
      <w:numFmt w:val="decimal"/>
      <w:lvlText w:val="%1"/>
      <w:lvlJc w:val="right"/>
      <w:pPr>
        <w:ind w:left="360" w:hanging="360"/>
      </w:pPr>
      <w:rPr>
        <w:b/>
        <w:color w:val="auto"/>
      </w:rPr>
    </w:lvl>
    <w:lvl w:ilvl="1">
      <w:start w:val="1"/>
      <w:numFmt w:val="decimal"/>
      <w:lvlText w:val="%1.%2"/>
      <w:lvlJc w:val="left"/>
      <w:pPr>
        <w:ind w:left="567" w:hanging="567"/>
      </w:pPr>
      <w:rPr>
        <w:dstrike w:val="false"/>
        <w:strike w:val="false"/>
        <w:sz w:val="24"/>
        <w:i w:val="false"/>
        <w:u w:val="none"/>
        <w:b w:val="false"/>
        <w:effect w:val="none"/>
        <w:szCs w:val="24"/>
        <w:rFonts w:ascii="Calibri" w:hAnsi="Calibri"/>
        <w:color w:val="auto"/>
      </w:rPr>
    </w:lvl>
    <w:lvl w:ilvl="2">
      <w:start w:val="1"/>
      <w:numFmt w:val="decimal"/>
      <w:lvlText w:val="%1.%2.%3"/>
      <w:lvlJc w:val="left"/>
      <w:pPr>
        <w:ind w:left="1072" w:hanging="504"/>
      </w:pPr>
      <w:rPr>
        <w:sz w:val="20"/>
        <w:i w:val="false"/>
        <w:b w:val="false"/>
        <w:szCs w:val="20"/>
        <w:color w:val="auto"/>
      </w:rPr>
    </w:lvl>
    <w:lvl w:ilvl="3">
      <w:start w:val="1"/>
      <w:numFmt w:val="decimal"/>
      <w:lvlText w:val="%1.%2.%3.%4"/>
      <w:lvlJc w:val="left"/>
      <w:pPr>
        <w:ind w:left="2491" w:hanging="648"/>
      </w:pPr>
      <w:rPr>
        <w:sz w:val="20"/>
        <w:szCs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lvl w:ilvl="0">
      <w:start w:val="2"/>
      <w:numFmt w:val="decimal"/>
      <w:lvlText w:val="%1"/>
      <w:lvlJc w:val="left"/>
      <w:pPr>
        <w:ind w:left="567" w:hanging="567"/>
      </w:pPr>
      <w:rPr>
        <w:dstrike w:val="false"/>
        <w:strike w:val="false"/>
        <w:sz w:val="24"/>
        <w:i w:val="false"/>
        <w:b/>
        <w:szCs w:val="24"/>
        <w:rFonts w:ascii="Calibri" w:hAnsi="Calibri"/>
        <w:color w:val="auto"/>
      </w:rPr>
    </w:lvl>
    <w:lvl w:ilvl="1">
      <w:start w:val="1"/>
      <w:numFmt w:val="decimal"/>
      <w:lvlText w:val="%1.%2"/>
      <w:lvlJc w:val="left"/>
      <w:pPr>
        <w:ind w:left="567" w:hanging="567"/>
      </w:pPr>
      <w:rPr>
        <w:dstrike w:val="false"/>
        <w:strike w:val="false"/>
        <w:sz w:val="24"/>
        <w:i w:val="false"/>
        <w:u w:val="none"/>
        <w:b w:val="false"/>
        <w:effect w:val="none"/>
        <w:szCs w:val="24"/>
        <w:bCs w:val="false"/>
        <w:rFonts w:ascii="Calibri" w:hAnsi="Calibri"/>
        <w:color w:val="auto"/>
      </w:rPr>
    </w:lvl>
    <w:lvl w:ilvl="2">
      <w:start w:val="1"/>
      <w:numFmt w:val="decimal"/>
      <w:suff w:val="space"/>
      <w:lvlText w:val="%1.%2.%3"/>
      <w:lvlJc w:val="left"/>
      <w:pPr>
        <w:ind w:left="567" w:hanging="567"/>
      </w:pPr>
      <w:rPr>
        <w:sz w:val="24"/>
        <w:i w:val="false"/>
        <w:b/>
        <w:szCs w:val="24"/>
        <w:rFonts w:ascii="Calibri" w:hAnsi="Calibri"/>
        <w:color w:val="auto"/>
      </w:rPr>
    </w:lvl>
    <w:lvl w:ilvl="3">
      <w:start w:val="1"/>
      <w:numFmt w:val="decimal"/>
      <w:lvlText w:val="%1.%2.%3.%4"/>
      <w:lvlJc w:val="left"/>
      <w:pPr>
        <w:ind w:left="850" w:hanging="850"/>
      </w:pPr>
      <w:rPr>
        <w:sz w:val="24"/>
        <w:szCs w:val="24"/>
        <w:rFonts w:ascii="Calibri" w:hAnsi="Calibri"/>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lvl w:ilvl="0">
      <w:start w:val="4"/>
      <w:numFmt w:val="decimal"/>
      <w:lvlText w:val="%1"/>
      <w:lvlJc w:val="left"/>
      <w:pPr>
        <w:ind w:left="360" w:hanging="360"/>
      </w:pPr>
      <w:rPr>
        <w:i/>
        <w:rFonts w:eastAsia="Calibri"/>
        <w:color w:val="FF0000"/>
      </w:rPr>
    </w:lvl>
    <w:lvl w:ilvl="1">
      <w:start w:val="1"/>
      <w:numFmt w:val="decimal"/>
      <w:lvlText w:val="%1.%2"/>
      <w:lvlJc w:val="left"/>
      <w:pPr>
        <w:ind w:left="567" w:hanging="567"/>
      </w:pPr>
      <w:rPr>
        <w:i w:val="false"/>
        <w:rFonts w:ascii="Calibri" w:hAnsi="Calibri" w:eastAsia="Calibri" w:cs="Arial"/>
        <w:color w:val="auto"/>
      </w:rPr>
    </w:lvl>
    <w:lvl w:ilvl="2">
      <w:start w:val="1"/>
      <w:numFmt w:val="decimal"/>
      <w:lvlText w:val="%1.%2.%3"/>
      <w:lvlJc w:val="left"/>
      <w:pPr>
        <w:ind w:left="567" w:hanging="567"/>
      </w:pPr>
      <w:rPr>
        <w:i w:val="false"/>
        <w:rFonts w:ascii="Calibri" w:hAnsi="Calibri" w:eastAsia="Calibri"/>
        <w:color w:val="auto"/>
      </w:rPr>
    </w:lvl>
    <w:lvl w:ilvl="3">
      <w:start w:val="1"/>
      <w:numFmt w:val="decimal"/>
      <w:lvlText w:val="%1.%2.%3.%4"/>
      <w:lvlJc w:val="left"/>
      <w:pPr>
        <w:ind w:left="720" w:hanging="720"/>
      </w:pPr>
      <w:rPr>
        <w:i/>
        <w:rFonts w:eastAsia="Calibri"/>
        <w:color w:val="FF0000"/>
      </w:rPr>
    </w:lvl>
    <w:lvl w:ilvl="4">
      <w:start w:val="1"/>
      <w:numFmt w:val="decimal"/>
      <w:lvlText w:val="%1.%2.%3.%4.%5"/>
      <w:lvlJc w:val="left"/>
      <w:pPr>
        <w:ind w:left="1080" w:hanging="1080"/>
      </w:pPr>
      <w:rPr>
        <w:i/>
        <w:rFonts w:eastAsia="Calibri"/>
        <w:color w:val="FF0000"/>
      </w:rPr>
    </w:lvl>
    <w:lvl w:ilvl="5">
      <w:start w:val="1"/>
      <w:numFmt w:val="decimal"/>
      <w:lvlText w:val="%1.%2.%3.%4.%5.%6"/>
      <w:lvlJc w:val="left"/>
      <w:pPr>
        <w:ind w:left="1080" w:hanging="1080"/>
      </w:pPr>
      <w:rPr>
        <w:i/>
        <w:rFonts w:eastAsia="Calibri"/>
        <w:color w:val="FF0000"/>
      </w:rPr>
    </w:lvl>
    <w:lvl w:ilvl="6">
      <w:start w:val="1"/>
      <w:numFmt w:val="decimal"/>
      <w:lvlText w:val="%1.%2.%3.%4.%5.%6.%7"/>
      <w:lvlJc w:val="left"/>
      <w:pPr>
        <w:ind w:left="1440" w:hanging="1440"/>
      </w:pPr>
      <w:rPr>
        <w:i/>
        <w:rFonts w:eastAsia="Calibri"/>
        <w:color w:val="FF0000"/>
      </w:rPr>
    </w:lvl>
    <w:lvl w:ilvl="7">
      <w:start w:val="1"/>
      <w:numFmt w:val="decimal"/>
      <w:lvlText w:val="%1.%2.%3.%4.%5.%6.%7.%8"/>
      <w:lvlJc w:val="left"/>
      <w:pPr>
        <w:ind w:left="1440" w:hanging="1440"/>
      </w:pPr>
      <w:rPr>
        <w:i/>
        <w:rFonts w:eastAsia="Calibri"/>
        <w:color w:val="FF0000"/>
      </w:rPr>
    </w:lvl>
    <w:lvl w:ilvl="8">
      <w:start w:val="1"/>
      <w:numFmt w:val="decimal"/>
      <w:lvlText w:val="%1.%2.%3.%4.%5.%6.%7.%8.%9"/>
      <w:lvlJc w:val="left"/>
      <w:pPr>
        <w:ind w:left="1800" w:hanging="1800"/>
      </w:pPr>
      <w:rPr>
        <w:i/>
        <w:rFonts w:eastAsia="Calibri"/>
        <w:color w:val="FF0000"/>
      </w:rPr>
    </w:lvl>
  </w:abstractNum>
  <w:abstractNum w:abstractNumId="5">
    <w:lvl w:ilvl="0">
      <w:start w:val="5"/>
      <w:numFmt w:val="decimal"/>
      <w:lvlText w:val="%1"/>
      <w:lvlJc w:val="left"/>
      <w:pPr>
        <w:ind w:left="360" w:hanging="360"/>
      </w:pPr>
      <w:rPr>
        <w:b w:val="false"/>
        <w:color w:val="FF0000"/>
      </w:rPr>
    </w:lvl>
    <w:lvl w:ilvl="1">
      <w:start w:val="1"/>
      <w:numFmt w:val="decimal"/>
      <w:lvlText w:val="%1.%2"/>
      <w:lvlJc w:val="left"/>
      <w:pPr>
        <w:ind w:left="567" w:hanging="567"/>
      </w:pPr>
      <w:rPr>
        <w:sz w:val="24"/>
        <w:i w:val="false"/>
        <w:b w:val="false"/>
        <w:szCs w:val="24"/>
        <w:rFonts w:ascii="Calibri" w:hAnsi="Calibri"/>
        <w:color w:val="auto"/>
      </w:rPr>
    </w:lvl>
    <w:lvl w:ilvl="2">
      <w:start w:val="1"/>
      <w:numFmt w:val="decimal"/>
      <w:lvlText w:val="%1.%2.%3"/>
      <w:lvlJc w:val="left"/>
      <w:pPr>
        <w:ind w:left="567" w:hanging="567"/>
      </w:pPr>
      <w:rPr>
        <w:i w:val="false"/>
        <w:b w:val="false"/>
        <w:rFonts w:ascii="Calibri" w:hAnsi="Calibri"/>
        <w:color w:val="auto"/>
      </w:rPr>
    </w:lvl>
    <w:lvl w:ilvl="3">
      <w:start w:val="1"/>
      <w:numFmt w:val="decimal"/>
      <w:lvlText w:val="%1.%2.%3.%4"/>
      <w:lvlJc w:val="left"/>
      <w:pPr>
        <w:ind w:left="1800" w:hanging="720"/>
      </w:pPr>
      <w:rPr>
        <w:i w:val="false"/>
        <w:b w:val="false"/>
        <w:color w:val="auto"/>
      </w:rPr>
    </w:lvl>
    <w:lvl w:ilvl="4">
      <w:start w:val="1"/>
      <w:numFmt w:val="decimal"/>
      <w:lvlText w:val="%1.%2.%3.%4.%5"/>
      <w:lvlJc w:val="left"/>
      <w:pPr>
        <w:ind w:left="2520" w:hanging="1080"/>
      </w:pPr>
      <w:rPr>
        <w:b w:val="false"/>
        <w:color w:val="FF0000"/>
      </w:rPr>
    </w:lvl>
    <w:lvl w:ilvl="5">
      <w:start w:val="1"/>
      <w:numFmt w:val="decimal"/>
      <w:lvlText w:val="%1.%2.%3.%4.%5.%6"/>
      <w:lvlJc w:val="left"/>
      <w:pPr>
        <w:ind w:left="2880" w:hanging="1080"/>
      </w:pPr>
      <w:rPr>
        <w:b w:val="false"/>
        <w:color w:val="FF0000"/>
      </w:rPr>
    </w:lvl>
    <w:lvl w:ilvl="6">
      <w:start w:val="1"/>
      <w:numFmt w:val="decimal"/>
      <w:lvlText w:val="%1.%2.%3.%4.%5.%6.%7"/>
      <w:lvlJc w:val="left"/>
      <w:pPr>
        <w:ind w:left="3600" w:hanging="1440"/>
      </w:pPr>
      <w:rPr>
        <w:b w:val="false"/>
        <w:color w:val="FF0000"/>
      </w:rPr>
    </w:lvl>
    <w:lvl w:ilvl="7">
      <w:start w:val="1"/>
      <w:numFmt w:val="decimal"/>
      <w:lvlText w:val="%1.%2.%3.%4.%5.%6.%7.%8"/>
      <w:lvlJc w:val="left"/>
      <w:pPr>
        <w:ind w:left="3960" w:hanging="1440"/>
      </w:pPr>
      <w:rPr>
        <w:b w:val="false"/>
        <w:color w:val="FF0000"/>
      </w:rPr>
    </w:lvl>
    <w:lvl w:ilvl="8">
      <w:start w:val="1"/>
      <w:numFmt w:val="decimal"/>
      <w:lvlText w:val="%1.%2.%3.%4.%5.%6.%7.%8.%9"/>
      <w:lvlJc w:val="left"/>
      <w:pPr>
        <w:ind w:left="4680" w:hanging="1800"/>
      </w:pPr>
      <w:rPr>
        <w:b w:val="false"/>
        <w:color w:val="FF0000"/>
      </w:rPr>
    </w:lvl>
  </w:abstractNum>
  <w:abstractNum w:abstractNumId="6">
    <w:lvl w:ilvl="0">
      <w:start w:val="6"/>
      <w:numFmt w:val="decimal"/>
      <w:lvlText w:val="%1"/>
      <w:lvlJc w:val="left"/>
      <w:pPr>
        <w:ind w:left="360" w:hanging="360"/>
      </w:pPr>
    </w:lvl>
    <w:lvl w:ilvl="1">
      <w:start w:val="1"/>
      <w:numFmt w:val="decimal"/>
      <w:lvlText w:val="%1.%2"/>
      <w:lvlJc w:val="left"/>
      <w:pPr>
        <w:ind w:left="567" w:hanging="567"/>
      </w:pPr>
      <w:rPr>
        <w:sz w:val="24"/>
        <w:i w:val="false"/>
        <w:szCs w:val="24"/>
        <w:rFonts w:ascii="Calibri" w:hAnsi="Calibri"/>
        <w:color w:val="auto"/>
      </w:rPr>
    </w:lvl>
    <w:lvl w:ilvl="2">
      <w:start w:val="1"/>
      <w:numFmt w:val="decimal"/>
      <w:lvlText w:val="%1.%2.%3"/>
      <w:lvlJc w:val="left"/>
      <w:pPr>
        <w:ind w:left="567" w:hanging="567"/>
      </w:pPr>
      <w:rPr>
        <w:sz w:val="24"/>
        <w:i w:val="false"/>
        <w:szCs w:val="24"/>
        <w:rFonts w:ascii="Calibri" w:hAnsi="Calibri"/>
        <w:color w:val="auto"/>
      </w:rPr>
    </w:lvl>
    <w:lvl w:ilvl="3">
      <w:start w:val="1"/>
      <w:numFmt w:val="decimal"/>
      <w:lvlText w:val="%1.%2.%3.%4"/>
      <w:lvlJc w:val="left"/>
      <w:pPr>
        <w:ind w:left="2016" w:hanging="720"/>
      </w:pPr>
    </w:lvl>
    <w:lvl w:ilvl="4">
      <w:start w:val="1"/>
      <w:numFmt w:val="decimal"/>
      <w:lvlText w:val="%1.%2.%3.%4.%5"/>
      <w:lvlJc w:val="left"/>
      <w:pPr>
        <w:ind w:left="2808" w:hanging="1080"/>
      </w:pPr>
    </w:lvl>
    <w:lvl w:ilvl="5">
      <w:start w:val="1"/>
      <w:numFmt w:val="decimal"/>
      <w:lvlText w:val="%1.%2.%3.%4.%5.%6"/>
      <w:lvlJc w:val="left"/>
      <w:pPr>
        <w:ind w:left="3240" w:hanging="1080"/>
      </w:pPr>
    </w:lvl>
    <w:lvl w:ilvl="6">
      <w:start w:val="1"/>
      <w:numFmt w:val="decimal"/>
      <w:lvlText w:val="%1.%2.%3.%4.%5.%6.%7"/>
      <w:lvlJc w:val="left"/>
      <w:pPr>
        <w:ind w:left="4032" w:hanging="1440"/>
      </w:pPr>
    </w:lvl>
    <w:lvl w:ilvl="7">
      <w:start w:val="1"/>
      <w:numFmt w:val="decimal"/>
      <w:lvlText w:val="%1.%2.%3.%4.%5.%6.%7.%8"/>
      <w:lvlJc w:val="left"/>
      <w:pPr>
        <w:ind w:left="4464" w:hanging="1440"/>
      </w:pPr>
    </w:lvl>
    <w:lvl w:ilvl="8">
      <w:start w:val="1"/>
      <w:numFmt w:val="decimal"/>
      <w:lvlText w:val="%1.%2.%3.%4.%5.%6.%7.%8.%9"/>
      <w:lvlJc w:val="left"/>
      <w:pPr>
        <w:ind w:left="5256" w:hanging="1800"/>
      </w:pPr>
    </w:lvl>
  </w:abstractNum>
  <w:abstractNum w:abstractNumId="7">
    <w:lvl w:ilvl="0">
      <w:start w:val="8"/>
      <w:numFmt w:val="decimal"/>
      <w:lvlText w:val="%1"/>
      <w:lvlJc w:val="left"/>
      <w:pPr>
        <w:ind w:left="360" w:hanging="360"/>
      </w:pPr>
      <w:rPr>
        <w:sz w:val="20"/>
        <w:i/>
        <w:rFonts w:ascii="Calibri" w:hAnsi="Calibri" w:eastAsia="Times New Roman" w:cs="Arial"/>
        <w:color w:val="FF0000"/>
      </w:rPr>
    </w:lvl>
    <w:lvl w:ilvl="1">
      <w:start w:val="1"/>
      <w:numFmt w:val="decimal"/>
      <w:lvlText w:val="%1.%2"/>
      <w:lvlJc w:val="left"/>
      <w:pPr>
        <w:ind w:left="1643" w:hanging="1643"/>
      </w:pPr>
    </w:lvl>
    <w:lvl w:ilvl="2">
      <w:start w:val="1"/>
      <w:numFmt w:val="decimal"/>
      <w:lvlText w:val="%1.%2.%3"/>
      <w:lvlJc w:val="left"/>
      <w:pPr>
        <w:ind w:left="567" w:hanging="567"/>
      </w:pPr>
      <w:rPr>
        <w:sz w:val="24"/>
        <w:i w:val="false"/>
        <w:szCs w:val="24"/>
        <w:rFonts w:ascii="Calibri" w:hAnsi="Calibri" w:eastAsia="Times New Roman" w:cs="Arial"/>
        <w:color w:val="auto"/>
      </w:rPr>
    </w:lvl>
    <w:lvl w:ilvl="3">
      <w:start w:val="1"/>
      <w:numFmt w:val="decimal"/>
      <w:suff w:val="space"/>
      <w:lvlText w:val="%1.%2.%3.%4"/>
      <w:lvlJc w:val="left"/>
      <w:pPr>
        <w:ind w:left="850" w:hanging="850"/>
      </w:pPr>
      <w:rPr>
        <w:sz w:val="24"/>
        <w:i w:val="false"/>
        <w:szCs w:val="24"/>
        <w:iCs/>
        <w:rFonts w:ascii="Calibri" w:hAnsi="Calibri" w:eastAsia="Times New Roman" w:cs="Arial"/>
        <w:color w:val="auto"/>
      </w:rPr>
    </w:lvl>
    <w:lvl w:ilvl="4">
      <w:start w:val="1"/>
      <w:numFmt w:val="decimal"/>
      <w:lvlText w:val="%1.%2.%3.%4.%5"/>
      <w:lvlJc w:val="left"/>
      <w:pPr>
        <w:ind w:left="6212" w:hanging="1080"/>
      </w:pPr>
      <w:rPr>
        <w:sz w:val="20"/>
        <w:i/>
        <w:rFonts w:eastAsia="Times New Roman" w:cs="Arial"/>
        <w:color w:val="FF0000"/>
      </w:rPr>
    </w:lvl>
    <w:lvl w:ilvl="5">
      <w:start w:val="1"/>
      <w:numFmt w:val="decimal"/>
      <w:lvlText w:val="%1.%2.%3.%4.%5.%6"/>
      <w:lvlJc w:val="left"/>
      <w:pPr>
        <w:ind w:left="7495" w:hanging="1080"/>
      </w:pPr>
      <w:rPr>
        <w:sz w:val="20"/>
        <w:i/>
        <w:rFonts w:eastAsia="Times New Roman" w:cs="Arial"/>
        <w:color w:val="FF0000"/>
      </w:rPr>
    </w:lvl>
    <w:lvl w:ilvl="6">
      <w:start w:val="1"/>
      <w:numFmt w:val="decimal"/>
      <w:lvlText w:val="%1.%2.%3.%4.%5.%6.%7"/>
      <w:lvlJc w:val="left"/>
      <w:pPr>
        <w:ind w:left="9138" w:hanging="1440"/>
      </w:pPr>
      <w:rPr>
        <w:sz w:val="20"/>
        <w:i/>
        <w:rFonts w:eastAsia="Times New Roman" w:cs="Arial"/>
        <w:color w:val="FF0000"/>
      </w:rPr>
    </w:lvl>
    <w:lvl w:ilvl="7">
      <w:start w:val="1"/>
      <w:numFmt w:val="decimal"/>
      <w:lvlText w:val="%1.%2.%3.%4.%5.%6.%7.%8"/>
      <w:lvlJc w:val="left"/>
      <w:pPr>
        <w:ind w:left="10421" w:hanging="1440"/>
      </w:pPr>
      <w:rPr>
        <w:sz w:val="20"/>
        <w:i/>
        <w:rFonts w:eastAsia="Times New Roman" w:cs="Arial"/>
        <w:color w:val="FF0000"/>
      </w:rPr>
    </w:lvl>
    <w:lvl w:ilvl="8">
      <w:start w:val="1"/>
      <w:numFmt w:val="decimal"/>
      <w:lvlText w:val="%1.%2.%3.%4.%5.%6.%7.%8.%9"/>
      <w:lvlJc w:val="left"/>
      <w:pPr>
        <w:ind w:left="11704" w:hanging="1440"/>
      </w:pPr>
      <w:rPr>
        <w:sz w:val="20"/>
        <w:i/>
        <w:rFonts w:eastAsia="Times New Roman" w:cs="Arial"/>
        <w:color w:val="FF0000"/>
      </w:rPr>
    </w:lvl>
  </w:abstractNum>
  <w:abstractNum w:abstractNumId="8">
    <w:lvl w:ilvl="0">
      <w:start w:val="4"/>
      <w:numFmt w:val="decimal"/>
      <w:lvlText w:val="%1"/>
      <w:lvlJc w:val="left"/>
      <w:pPr>
        <w:ind w:left="360" w:hanging="360"/>
      </w:pPr>
      <w:rPr>
        <w:i/>
        <w:rFonts w:eastAsia="Calibri"/>
        <w:color w:val="FF0000"/>
      </w:rPr>
    </w:lvl>
    <w:lvl w:ilvl="1">
      <w:start w:val="2"/>
      <w:numFmt w:val="decimal"/>
      <w:lvlText w:val="%1.%2"/>
      <w:lvlJc w:val="left"/>
      <w:pPr>
        <w:ind w:left="567" w:hanging="567"/>
      </w:pPr>
      <w:rPr>
        <w:i w:val="false"/>
        <w:rFonts w:ascii="Calibri" w:hAnsi="Calibri" w:eastAsia="Calibri" w:cs="Arial"/>
        <w:color w:val="auto"/>
      </w:rPr>
    </w:lvl>
    <w:lvl w:ilvl="2">
      <w:start w:val="1"/>
      <w:numFmt w:val="decimal"/>
      <w:lvlText w:val="%1.%2.%3"/>
      <w:lvlJc w:val="left"/>
      <w:pPr>
        <w:ind w:left="567" w:hanging="567"/>
      </w:pPr>
      <w:rPr>
        <w:i w:val="false"/>
        <w:rFonts w:ascii="Calibri" w:hAnsi="Calibri" w:eastAsia="Calibri"/>
        <w:color w:val="auto"/>
      </w:rPr>
    </w:lvl>
    <w:lvl w:ilvl="3">
      <w:start w:val="1"/>
      <w:numFmt w:val="decimal"/>
      <w:lvlText w:val="%1.%2.%3.%4"/>
      <w:lvlJc w:val="left"/>
      <w:pPr>
        <w:ind w:left="720" w:hanging="720"/>
      </w:pPr>
      <w:rPr>
        <w:i/>
        <w:rFonts w:eastAsia="Calibri"/>
        <w:color w:val="FF0000"/>
      </w:rPr>
    </w:lvl>
    <w:lvl w:ilvl="4">
      <w:start w:val="1"/>
      <w:numFmt w:val="decimal"/>
      <w:lvlText w:val="%1.%2.%3.%4.%5"/>
      <w:lvlJc w:val="left"/>
      <w:pPr>
        <w:ind w:left="1080" w:hanging="1080"/>
      </w:pPr>
      <w:rPr>
        <w:i/>
        <w:rFonts w:eastAsia="Calibri"/>
        <w:color w:val="FF0000"/>
      </w:rPr>
    </w:lvl>
    <w:lvl w:ilvl="5">
      <w:start w:val="1"/>
      <w:numFmt w:val="decimal"/>
      <w:lvlText w:val="%1.%2.%3.%4.%5.%6"/>
      <w:lvlJc w:val="left"/>
      <w:pPr>
        <w:ind w:left="1080" w:hanging="1080"/>
      </w:pPr>
      <w:rPr>
        <w:i/>
        <w:rFonts w:eastAsia="Calibri"/>
        <w:color w:val="FF0000"/>
      </w:rPr>
    </w:lvl>
    <w:lvl w:ilvl="6">
      <w:start w:val="1"/>
      <w:numFmt w:val="decimal"/>
      <w:lvlText w:val="%1.%2.%3.%4.%5.%6.%7"/>
      <w:lvlJc w:val="left"/>
      <w:pPr>
        <w:ind w:left="1440" w:hanging="1440"/>
      </w:pPr>
      <w:rPr>
        <w:i/>
        <w:rFonts w:eastAsia="Calibri"/>
        <w:color w:val="FF0000"/>
      </w:rPr>
    </w:lvl>
    <w:lvl w:ilvl="7">
      <w:start w:val="1"/>
      <w:numFmt w:val="decimal"/>
      <w:lvlText w:val="%1.%2.%3.%4.%5.%6.%7.%8"/>
      <w:lvlJc w:val="left"/>
      <w:pPr>
        <w:ind w:left="1440" w:hanging="1440"/>
      </w:pPr>
      <w:rPr>
        <w:i/>
        <w:rFonts w:eastAsia="Calibri"/>
        <w:color w:val="FF0000"/>
      </w:rPr>
    </w:lvl>
    <w:lvl w:ilvl="8">
      <w:start w:val="1"/>
      <w:numFmt w:val="decimal"/>
      <w:lvlText w:val="%1.%2.%3.%4.%5.%6.%7.%8.%9"/>
      <w:lvlJc w:val="left"/>
      <w:pPr>
        <w:ind w:left="1800" w:hanging="1800"/>
      </w:pPr>
      <w:rPr>
        <w:i/>
        <w:rFonts w:eastAsia="Calibri"/>
        <w:color w:val="FF0000"/>
      </w:rPr>
    </w:lvl>
  </w:abstractNum>
  <w:abstractNum w:abstractNumId="9">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10"/>
  <w:defaultTabStop w:val="357"/>
  <w:autoHyphenation w:val="false"/>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Arial"/>
        <w:szCs w:val="22"/>
        <w:lang w:val="pt-BR"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0"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4622f8"/>
    <w:pPr>
      <w:widowControl/>
      <w:suppressAutoHyphens w:val="true"/>
      <w:bidi w:val="0"/>
      <w:spacing w:lineRule="auto" w:line="259" w:before="0" w:after="160"/>
      <w:ind w:left="714" w:hanging="357"/>
      <w:jc w:val="left"/>
    </w:pPr>
    <w:rPr>
      <w:rFonts w:ascii="Calibri" w:hAnsi="Calibri" w:eastAsia="Calibri" w:cs="Arial"/>
      <w:color w:val="auto"/>
      <w:kern w:val="0"/>
      <w:sz w:val="22"/>
      <w:szCs w:val="22"/>
      <w:lang w:val="pt-BR" w:eastAsia="en-US" w:bidi="ar-SA"/>
    </w:rPr>
  </w:style>
  <w:style w:type="character" w:styleId="DefaultParagraphFont" w:default="1">
    <w:name w:val="Default Paragraph Font"/>
    <w:uiPriority w:val="1"/>
    <w:semiHidden/>
    <w:unhideWhenUsed/>
    <w:qFormat/>
    <w:rPr/>
  </w:style>
  <w:style w:type="character" w:styleId="LinkdaInternet" w:customStyle="1">
    <w:name w:val="Link da Internet"/>
    <w:basedOn w:val="DefaultParagraphFont"/>
    <w:uiPriority w:val="99"/>
    <w:unhideWhenUsed/>
    <w:rsid w:val="00752807"/>
    <w:rPr>
      <w:color w:val="0000FF" w:themeColor="hyperlink"/>
      <w:u w:val="single"/>
    </w:rPr>
  </w:style>
  <w:style w:type="character" w:styleId="CitaoChar" w:customStyle="1">
    <w:name w:val="Citação Char"/>
    <w:basedOn w:val="DefaultParagraphFont"/>
    <w:qFormat/>
    <w:rsid w:val="004622f8"/>
    <w:rPr>
      <w:rFonts w:ascii="Arial" w:hAnsi="Arial" w:eastAsia="Calibri" w:cs="Tahoma"/>
      <w:i/>
      <w:iCs/>
      <w:color w:val="000000"/>
      <w:sz w:val="20"/>
      <w:szCs w:val="24"/>
      <w:highlight w:val="yellow"/>
    </w:rPr>
  </w:style>
  <w:style w:type="character" w:styleId="Nivel1Char" w:customStyle="1">
    <w:name w:val="Nivel1 Char"/>
    <w:basedOn w:val="DefaultParagraphFont"/>
    <w:qFormat/>
    <w:rsid w:val="004622f8"/>
    <w:rPr>
      <w:rFonts w:ascii="Arial" w:hAnsi="Arial" w:eastAsia="Yu Gothic Light" w:cs="Arial"/>
      <w:b/>
      <w:color w:val="000000"/>
      <w:sz w:val="32"/>
      <w:szCs w:val="32"/>
    </w:rPr>
  </w:style>
  <w:style w:type="character" w:styleId="Ttulo1Char" w:customStyle="1">
    <w:name w:val="Título 1 Char"/>
    <w:basedOn w:val="DefaultParagraphFont"/>
    <w:qFormat/>
    <w:rsid w:val="004622f8"/>
    <w:rPr>
      <w:rFonts w:ascii="Calibri Light" w:hAnsi="Calibri Light" w:eastAsia="Yu Gothic Light" w:cs="Times New Roman"/>
      <w:color w:val="2F5496"/>
      <w:sz w:val="32"/>
      <w:szCs w:val="32"/>
    </w:rPr>
  </w:style>
  <w:style w:type="character" w:styleId="Normalchar1" w:customStyle="1">
    <w:name w:val="normal__char1"/>
    <w:qFormat/>
    <w:rsid w:val="004622f8"/>
    <w:rPr>
      <w:rFonts w:ascii="Arial" w:hAnsi="Arial" w:cs="Arial"/>
      <w:strike w:val="false"/>
      <w:dstrike w:val="false"/>
      <w:sz w:val="24"/>
      <w:szCs w:val="24"/>
      <w:u w:val="none"/>
      <w:effect w:val="none"/>
    </w:rPr>
  </w:style>
  <w:style w:type="character" w:styleId="Strong">
    <w:name w:val="Strong"/>
    <w:basedOn w:val="DefaultParagraphFont"/>
    <w:qFormat/>
    <w:rsid w:val="004622f8"/>
    <w:rPr>
      <w:b/>
      <w:bCs/>
    </w:rPr>
  </w:style>
  <w:style w:type="character" w:styleId="MenoPendente1" w:customStyle="1">
    <w:name w:val="Menção Pendente1"/>
    <w:basedOn w:val="DefaultParagraphFont"/>
    <w:qFormat/>
    <w:rsid w:val="004622f8"/>
    <w:rPr>
      <w:color w:val="605E5C"/>
      <w:highlight w:val="lightGray"/>
    </w:rPr>
  </w:style>
  <w:style w:type="character" w:styleId="Annotationreference">
    <w:name w:val="annotation reference"/>
    <w:basedOn w:val="DefaultParagraphFont"/>
    <w:qFormat/>
    <w:rsid w:val="004622f8"/>
    <w:rPr>
      <w:sz w:val="16"/>
      <w:szCs w:val="16"/>
    </w:rPr>
  </w:style>
  <w:style w:type="character" w:styleId="TextodecomentrioChar" w:customStyle="1">
    <w:name w:val="Texto de comentário Char"/>
    <w:basedOn w:val="DefaultParagraphFont"/>
    <w:qFormat/>
    <w:rsid w:val="004622f8"/>
    <w:rPr>
      <w:sz w:val="20"/>
      <w:szCs w:val="20"/>
    </w:rPr>
  </w:style>
  <w:style w:type="character" w:styleId="AssuntodocomentrioChar" w:customStyle="1">
    <w:name w:val="Assunto do comentário Char"/>
    <w:basedOn w:val="TextodecomentrioChar"/>
    <w:qFormat/>
    <w:rsid w:val="004622f8"/>
    <w:rPr>
      <w:b/>
      <w:bCs/>
      <w:sz w:val="20"/>
      <w:szCs w:val="20"/>
    </w:rPr>
  </w:style>
  <w:style w:type="character" w:styleId="Ttulo6Char" w:customStyle="1">
    <w:name w:val="Título 6 Char"/>
    <w:basedOn w:val="DefaultParagraphFont"/>
    <w:qFormat/>
    <w:rsid w:val="004622f8"/>
    <w:rPr>
      <w:rFonts w:ascii="Calibri Light" w:hAnsi="Calibri Light" w:eastAsia="Yu Gothic Light" w:cs="Times New Roman"/>
      <w:color w:val="1F3763"/>
    </w:rPr>
  </w:style>
  <w:style w:type="character" w:styleId="Linkdainternetvisitado" w:customStyle="1">
    <w:name w:val="Link da internet visitado"/>
    <w:basedOn w:val="DefaultParagraphFont"/>
    <w:rsid w:val="004622f8"/>
    <w:rPr>
      <w:color w:val="954F72"/>
      <w:u w:val="single"/>
    </w:rPr>
  </w:style>
  <w:style w:type="character" w:styleId="QuoteChar" w:customStyle="1">
    <w:name w:val="Quote Char"/>
    <w:qFormat/>
    <w:rsid w:val="004622f8"/>
    <w:rPr>
      <w:rFonts w:ascii="Ecofont_Spranq_eco_Sans" w:hAnsi="Ecofont_Spranq_eco_Sans" w:cs="Ecofont_Spranq_eco_Sans"/>
      <w:i/>
      <w:iCs/>
      <w:color w:val="000000"/>
      <w:sz w:val="24"/>
      <w:szCs w:val="24"/>
      <w:highlight w:val="yellow"/>
    </w:rPr>
  </w:style>
  <w:style w:type="character" w:styleId="Markedcontent" w:customStyle="1">
    <w:name w:val="markedcontent"/>
    <w:basedOn w:val="DefaultParagraphFont"/>
    <w:qFormat/>
    <w:rsid w:val="004622f8"/>
    <w:rPr/>
  </w:style>
  <w:style w:type="character" w:styleId="Highlight" w:customStyle="1">
    <w:name w:val="highlight"/>
    <w:basedOn w:val="DefaultParagraphFont"/>
    <w:qFormat/>
    <w:rsid w:val="004622f8"/>
    <w:rPr/>
  </w:style>
  <w:style w:type="character" w:styleId="TextodebaloChar" w:customStyle="1">
    <w:name w:val="Texto de balão Char"/>
    <w:basedOn w:val="DefaultParagraphFont"/>
    <w:qFormat/>
    <w:rsid w:val="004622f8"/>
    <w:rPr>
      <w:rFonts w:ascii="Segoe UI" w:hAnsi="Segoe UI" w:cs="Segoe UI"/>
      <w:sz w:val="18"/>
      <w:szCs w:val="18"/>
    </w:rPr>
  </w:style>
  <w:style w:type="character" w:styleId="MenoPendente2" w:customStyle="1">
    <w:name w:val="Menção Pendente2"/>
    <w:basedOn w:val="DefaultParagraphFont"/>
    <w:qFormat/>
    <w:rsid w:val="004622f8"/>
    <w:rPr>
      <w:color w:val="605E5C"/>
      <w:highlight w:val="lightGray"/>
    </w:rPr>
  </w:style>
  <w:style w:type="character" w:styleId="Nivel2Char" w:customStyle="1">
    <w:name w:val="Nivel 2 Char"/>
    <w:basedOn w:val="DefaultParagraphFont"/>
    <w:qFormat/>
    <w:rsid w:val="004622f8"/>
    <w:rPr>
      <w:rFonts w:ascii="Arial" w:hAnsi="Arial" w:cs="Arial"/>
      <w:color w:val="000000"/>
    </w:rPr>
  </w:style>
  <w:style w:type="character" w:styleId="Citao2Char" w:customStyle="1">
    <w:name w:val="citação 2 Char"/>
    <w:basedOn w:val="CitaoChar"/>
    <w:qFormat/>
    <w:rsid w:val="004622f8"/>
    <w:rPr>
      <w:rFonts w:ascii="Arial" w:hAnsi="Arial" w:eastAsia="Calibri" w:cs="Tahoma"/>
      <w:i/>
      <w:iCs/>
      <w:color w:val="000000"/>
      <w:kern w:val="2"/>
      <w:sz w:val="20"/>
      <w:szCs w:val="20"/>
      <w:highlight w:val="yellow"/>
      <w:lang w:eastAsia="zh-CN" w:bidi="hi-IN"/>
    </w:rPr>
  </w:style>
  <w:style w:type="character" w:styleId="CabealhoChar" w:customStyle="1">
    <w:name w:val="Cabeçalho Char"/>
    <w:basedOn w:val="DefaultParagraphFont"/>
    <w:qFormat/>
    <w:rsid w:val="004622f8"/>
    <w:rPr/>
  </w:style>
  <w:style w:type="character" w:styleId="RodapChar" w:customStyle="1">
    <w:name w:val="Rodapé Char"/>
    <w:basedOn w:val="DefaultParagraphFont"/>
    <w:qFormat/>
    <w:rsid w:val="004622f8"/>
    <w:rPr/>
  </w:style>
  <w:style w:type="character" w:styleId="MenoPendente3" w:customStyle="1">
    <w:name w:val="Menção Pendente3"/>
    <w:basedOn w:val="DefaultParagraphFont"/>
    <w:qFormat/>
    <w:rsid w:val="004622f8"/>
    <w:rPr>
      <w:color w:val="605E5C"/>
      <w:highlight w:val="lightGray"/>
    </w:rPr>
  </w:style>
  <w:style w:type="character" w:styleId="Ttulo3Char" w:customStyle="1">
    <w:name w:val="Título 3 Char"/>
    <w:basedOn w:val="DefaultParagraphFont"/>
    <w:qFormat/>
    <w:rsid w:val="004622f8"/>
    <w:rPr>
      <w:rFonts w:ascii="Calibri Light" w:hAnsi="Calibri Light" w:eastAsia="Yu Gothic Light" w:cs="Times New Roman"/>
      <w:color w:val="1F3763"/>
      <w:sz w:val="24"/>
      <w:szCs w:val="24"/>
    </w:rPr>
  </w:style>
  <w:style w:type="character" w:styleId="MenoPendente4" w:customStyle="1">
    <w:name w:val="Menção Pendente4"/>
    <w:basedOn w:val="DefaultParagraphFont"/>
    <w:qFormat/>
    <w:rsid w:val="004622f8"/>
    <w:rPr>
      <w:color w:val="605E5C"/>
      <w:highlight w:val="lightGray"/>
    </w:rPr>
  </w:style>
  <w:style w:type="character" w:styleId="Manoel" w:customStyle="1">
    <w:name w:val="Manoel"/>
    <w:qFormat/>
    <w:rsid w:val="004622f8"/>
    <w:rPr>
      <w:rFonts w:ascii="Arial" w:hAnsi="Arial" w:cs="Arial"/>
      <w:color w:val="7030A0"/>
      <w:sz w:val="20"/>
    </w:rPr>
  </w:style>
  <w:style w:type="character" w:styleId="Normaltextrun" w:customStyle="1">
    <w:name w:val="normaltextrun"/>
    <w:basedOn w:val="DefaultParagraphFont"/>
    <w:qFormat/>
    <w:rsid w:val="004622f8"/>
    <w:rPr/>
  </w:style>
  <w:style w:type="character" w:styleId="Eop" w:customStyle="1">
    <w:name w:val="eop"/>
    <w:basedOn w:val="DefaultParagraphFont"/>
    <w:qFormat/>
    <w:rsid w:val="004622f8"/>
    <w:rPr/>
  </w:style>
  <w:style w:type="character" w:styleId="Fontepargpadro1" w:customStyle="1">
    <w:name w:val="fontepargpadro1"/>
    <w:basedOn w:val="DefaultParagraphFont"/>
    <w:qFormat/>
    <w:rsid w:val="004622f8"/>
    <w:rPr/>
  </w:style>
  <w:style w:type="character" w:styleId="Smbolosdenumerao" w:customStyle="1">
    <w:name w:val="Símbolos de numeração"/>
    <w:qFormat/>
    <w:rsid w:val="004622f8"/>
    <w:rPr/>
  </w:style>
  <w:style w:type="character" w:styleId="ListLabel1">
    <w:name w:val="ListLabel 1"/>
    <w:qFormat/>
    <w:rPr>
      <w:b/>
      <w:color w:val="auto"/>
    </w:rPr>
  </w:style>
  <w:style w:type="character" w:styleId="ListLabel2">
    <w:name w:val="ListLabel 2"/>
    <w:qFormat/>
    <w:rPr>
      <w:b w:val="false"/>
      <w:i w:val="false"/>
      <w:strike w:val="false"/>
      <w:dstrike w:val="false"/>
      <w:color w:val="auto"/>
      <w:u w:val="none"/>
      <w:effect w:val="none"/>
    </w:rPr>
  </w:style>
  <w:style w:type="character" w:styleId="ListLabel3">
    <w:name w:val="ListLabel 3"/>
    <w:qFormat/>
    <w:rPr>
      <w:b w:val="false"/>
      <w:i w:val="false"/>
      <w:color w:val="auto"/>
      <w:sz w:val="20"/>
      <w:szCs w:val="20"/>
    </w:rPr>
  </w:style>
  <w:style w:type="character" w:styleId="ListLabel4">
    <w:name w:val="ListLabel 4"/>
    <w:qFormat/>
    <w:rPr>
      <w:sz w:val="20"/>
      <w:szCs w:val="20"/>
    </w:rPr>
  </w:style>
  <w:style w:type="character" w:styleId="ListLabel5">
    <w:name w:val="ListLabel 5"/>
    <w:qFormat/>
    <w:rPr>
      <w:b/>
      <w:color w:val="auto"/>
    </w:rPr>
  </w:style>
  <w:style w:type="character" w:styleId="ListLabel6">
    <w:name w:val="ListLabel 6"/>
    <w:qFormat/>
    <w:rPr>
      <w:b w:val="false"/>
      <w:i w:val="false"/>
      <w:strike w:val="false"/>
      <w:dstrike w:val="false"/>
      <w:color w:val="auto"/>
      <w:sz w:val="24"/>
      <w:szCs w:val="24"/>
      <w:u w:val="none"/>
      <w:effect w:val="none"/>
    </w:rPr>
  </w:style>
  <w:style w:type="character" w:styleId="ListLabel7">
    <w:name w:val="ListLabel 7"/>
    <w:qFormat/>
    <w:rPr>
      <w:b w:val="false"/>
      <w:i w:val="false"/>
      <w:color w:val="auto"/>
      <w:sz w:val="20"/>
      <w:szCs w:val="20"/>
    </w:rPr>
  </w:style>
  <w:style w:type="character" w:styleId="ListLabel8">
    <w:name w:val="ListLabel 8"/>
    <w:qFormat/>
    <w:rPr>
      <w:sz w:val="20"/>
      <w:szCs w:val="20"/>
    </w:rPr>
  </w:style>
  <w:style w:type="character" w:styleId="ListLabel9">
    <w:name w:val="ListLabel 9"/>
    <w:qFormat/>
    <w:rPr>
      <w:b/>
      <w:i w:val="false"/>
      <w:strike w:val="false"/>
      <w:dstrike w:val="false"/>
      <w:color w:val="auto"/>
      <w:sz w:val="24"/>
      <w:szCs w:val="24"/>
    </w:rPr>
  </w:style>
  <w:style w:type="character" w:styleId="ListLabel10">
    <w:name w:val="ListLabel 10"/>
    <w:qFormat/>
    <w:rPr>
      <w:b w:val="false"/>
      <w:bCs w:val="false"/>
      <w:i w:val="false"/>
      <w:strike w:val="false"/>
      <w:dstrike w:val="false"/>
      <w:color w:val="auto"/>
      <w:sz w:val="24"/>
      <w:szCs w:val="24"/>
      <w:u w:val="none"/>
      <w:effect w:val="none"/>
    </w:rPr>
  </w:style>
  <w:style w:type="character" w:styleId="ListLabel11">
    <w:name w:val="ListLabel 11"/>
    <w:qFormat/>
    <w:rPr>
      <w:b/>
      <w:i w:val="false"/>
      <w:color w:val="auto"/>
      <w:sz w:val="24"/>
      <w:szCs w:val="24"/>
    </w:rPr>
  </w:style>
  <w:style w:type="character" w:styleId="ListLabel12">
    <w:name w:val="ListLabel 12"/>
    <w:qFormat/>
    <w:rPr>
      <w:sz w:val="24"/>
      <w:szCs w:val="24"/>
    </w:rPr>
  </w:style>
  <w:style w:type="character" w:styleId="ListLabel13">
    <w:name w:val="ListLabel 13"/>
    <w:qFormat/>
    <w:rPr>
      <w:rFonts w:eastAsia="Calibri"/>
      <w:i/>
      <w:color w:val="FF0000"/>
    </w:rPr>
  </w:style>
  <w:style w:type="character" w:styleId="ListLabel14">
    <w:name w:val="ListLabel 14"/>
    <w:qFormat/>
    <w:rPr>
      <w:rFonts w:eastAsia="Calibri" w:cs="Arial"/>
      <w:i w:val="false"/>
      <w:color w:val="auto"/>
    </w:rPr>
  </w:style>
  <w:style w:type="character" w:styleId="ListLabel15">
    <w:name w:val="ListLabel 15"/>
    <w:qFormat/>
    <w:rPr>
      <w:rFonts w:eastAsia="Calibri"/>
      <w:i w:val="false"/>
      <w:color w:val="auto"/>
    </w:rPr>
  </w:style>
  <w:style w:type="character" w:styleId="ListLabel16">
    <w:name w:val="ListLabel 16"/>
    <w:qFormat/>
    <w:rPr>
      <w:rFonts w:eastAsia="Calibri"/>
      <w:i/>
      <w:color w:val="FF0000"/>
    </w:rPr>
  </w:style>
  <w:style w:type="character" w:styleId="ListLabel17">
    <w:name w:val="ListLabel 17"/>
    <w:qFormat/>
    <w:rPr>
      <w:rFonts w:eastAsia="Calibri"/>
      <w:i/>
      <w:color w:val="FF0000"/>
    </w:rPr>
  </w:style>
  <w:style w:type="character" w:styleId="ListLabel18">
    <w:name w:val="ListLabel 18"/>
    <w:qFormat/>
    <w:rPr>
      <w:rFonts w:eastAsia="Calibri"/>
      <w:i/>
      <w:color w:val="FF0000"/>
    </w:rPr>
  </w:style>
  <w:style w:type="character" w:styleId="ListLabel19">
    <w:name w:val="ListLabel 19"/>
    <w:qFormat/>
    <w:rPr>
      <w:rFonts w:eastAsia="Calibri"/>
      <w:i/>
      <w:color w:val="FF0000"/>
    </w:rPr>
  </w:style>
  <w:style w:type="character" w:styleId="ListLabel20">
    <w:name w:val="ListLabel 20"/>
    <w:qFormat/>
    <w:rPr>
      <w:rFonts w:eastAsia="Calibri"/>
      <w:i/>
      <w:color w:val="FF0000"/>
    </w:rPr>
  </w:style>
  <w:style w:type="character" w:styleId="ListLabel21">
    <w:name w:val="ListLabel 21"/>
    <w:qFormat/>
    <w:rPr>
      <w:rFonts w:eastAsia="Calibri"/>
      <w:i/>
      <w:color w:val="FF0000"/>
    </w:rPr>
  </w:style>
  <w:style w:type="character" w:styleId="ListLabel22">
    <w:name w:val="ListLabel 22"/>
    <w:qFormat/>
    <w:rPr>
      <w:b w:val="false"/>
      <w:color w:val="FF0000"/>
    </w:rPr>
  </w:style>
  <w:style w:type="character" w:styleId="ListLabel23">
    <w:name w:val="ListLabel 23"/>
    <w:qFormat/>
    <w:rPr>
      <w:b w:val="false"/>
      <w:i w:val="false"/>
      <w:color w:val="auto"/>
      <w:sz w:val="24"/>
      <w:szCs w:val="24"/>
    </w:rPr>
  </w:style>
  <w:style w:type="character" w:styleId="ListLabel24">
    <w:name w:val="ListLabel 24"/>
    <w:qFormat/>
    <w:rPr>
      <w:b w:val="false"/>
      <w:i w:val="false"/>
      <w:color w:val="auto"/>
    </w:rPr>
  </w:style>
  <w:style w:type="character" w:styleId="ListLabel25">
    <w:name w:val="ListLabel 25"/>
    <w:qFormat/>
    <w:rPr>
      <w:b w:val="false"/>
      <w:i w:val="false"/>
      <w:color w:val="auto"/>
    </w:rPr>
  </w:style>
  <w:style w:type="character" w:styleId="ListLabel26">
    <w:name w:val="ListLabel 26"/>
    <w:qFormat/>
    <w:rPr>
      <w:b w:val="false"/>
      <w:color w:val="FF0000"/>
    </w:rPr>
  </w:style>
  <w:style w:type="character" w:styleId="ListLabel27">
    <w:name w:val="ListLabel 27"/>
    <w:qFormat/>
    <w:rPr>
      <w:b w:val="false"/>
      <w:color w:val="FF0000"/>
    </w:rPr>
  </w:style>
  <w:style w:type="character" w:styleId="ListLabel28">
    <w:name w:val="ListLabel 28"/>
    <w:qFormat/>
    <w:rPr>
      <w:b w:val="false"/>
      <w:color w:val="FF0000"/>
    </w:rPr>
  </w:style>
  <w:style w:type="character" w:styleId="ListLabel29">
    <w:name w:val="ListLabel 29"/>
    <w:qFormat/>
    <w:rPr>
      <w:b w:val="false"/>
      <w:color w:val="FF0000"/>
    </w:rPr>
  </w:style>
  <w:style w:type="character" w:styleId="ListLabel30">
    <w:name w:val="ListLabel 30"/>
    <w:qFormat/>
    <w:rPr>
      <w:b w:val="false"/>
      <w:color w:val="FF0000"/>
    </w:rPr>
  </w:style>
  <w:style w:type="character" w:styleId="ListLabel31">
    <w:name w:val="ListLabel 31"/>
    <w:qFormat/>
    <w:rPr>
      <w:i w:val="false"/>
      <w:color w:val="auto"/>
      <w:sz w:val="24"/>
      <w:szCs w:val="24"/>
    </w:rPr>
  </w:style>
  <w:style w:type="character" w:styleId="ListLabel32">
    <w:name w:val="ListLabel 32"/>
    <w:qFormat/>
    <w:rPr>
      <w:i w:val="false"/>
      <w:color w:val="auto"/>
      <w:sz w:val="24"/>
      <w:szCs w:val="24"/>
    </w:rPr>
  </w:style>
  <w:style w:type="character" w:styleId="ListLabel33">
    <w:name w:val="ListLabel 33"/>
    <w:qFormat/>
    <w:rPr>
      <w:rFonts w:eastAsia="Times New Roman" w:cs="Arial"/>
      <w:i/>
      <w:color w:val="FF0000"/>
      <w:sz w:val="20"/>
    </w:rPr>
  </w:style>
  <w:style w:type="character" w:styleId="ListLabel34">
    <w:name w:val="ListLabel 34"/>
    <w:qFormat/>
    <w:rPr>
      <w:rFonts w:eastAsia="Times New Roman" w:cs="Arial"/>
      <w:i w:val="false"/>
      <w:color w:val="auto"/>
      <w:sz w:val="24"/>
      <w:szCs w:val="24"/>
    </w:rPr>
  </w:style>
  <w:style w:type="character" w:styleId="ListLabel35">
    <w:name w:val="ListLabel 35"/>
    <w:qFormat/>
    <w:rPr>
      <w:rFonts w:eastAsia="Times New Roman" w:cs="Arial"/>
      <w:i w:val="false"/>
      <w:iCs/>
      <w:color w:val="auto"/>
      <w:sz w:val="24"/>
      <w:szCs w:val="24"/>
    </w:rPr>
  </w:style>
  <w:style w:type="character" w:styleId="ListLabel36">
    <w:name w:val="ListLabel 36"/>
    <w:qFormat/>
    <w:rPr>
      <w:rFonts w:eastAsia="Times New Roman" w:cs="Arial"/>
      <w:i/>
      <w:color w:val="FF0000"/>
      <w:sz w:val="20"/>
    </w:rPr>
  </w:style>
  <w:style w:type="character" w:styleId="ListLabel37">
    <w:name w:val="ListLabel 37"/>
    <w:qFormat/>
    <w:rPr>
      <w:rFonts w:eastAsia="Times New Roman" w:cs="Arial"/>
      <w:i/>
      <w:color w:val="FF0000"/>
      <w:sz w:val="20"/>
    </w:rPr>
  </w:style>
  <w:style w:type="character" w:styleId="ListLabel38">
    <w:name w:val="ListLabel 38"/>
    <w:qFormat/>
    <w:rPr>
      <w:rFonts w:eastAsia="Times New Roman" w:cs="Arial"/>
      <w:i/>
      <w:color w:val="FF0000"/>
      <w:sz w:val="20"/>
    </w:rPr>
  </w:style>
  <w:style w:type="character" w:styleId="ListLabel39">
    <w:name w:val="ListLabel 39"/>
    <w:qFormat/>
    <w:rPr>
      <w:rFonts w:eastAsia="Times New Roman" w:cs="Arial"/>
      <w:i/>
      <w:color w:val="FF0000"/>
      <w:sz w:val="20"/>
    </w:rPr>
  </w:style>
  <w:style w:type="character" w:styleId="ListLabel40">
    <w:name w:val="ListLabel 40"/>
    <w:qFormat/>
    <w:rPr>
      <w:rFonts w:eastAsia="Times New Roman" w:cs="Arial"/>
      <w:i/>
      <w:color w:val="FF0000"/>
      <w:sz w:val="20"/>
    </w:rPr>
  </w:style>
  <w:style w:type="character" w:styleId="ListLabel41">
    <w:name w:val="ListLabel 41"/>
    <w:qFormat/>
    <w:rPr>
      <w:rFonts w:eastAsia="Calibri"/>
      <w:i/>
      <w:color w:val="FF0000"/>
    </w:rPr>
  </w:style>
  <w:style w:type="character" w:styleId="ListLabel42">
    <w:name w:val="ListLabel 42"/>
    <w:qFormat/>
    <w:rPr>
      <w:rFonts w:eastAsia="Calibri" w:cs="Arial"/>
      <w:i w:val="false"/>
      <w:color w:val="auto"/>
    </w:rPr>
  </w:style>
  <w:style w:type="character" w:styleId="ListLabel43">
    <w:name w:val="ListLabel 43"/>
    <w:qFormat/>
    <w:rPr>
      <w:rFonts w:eastAsia="Calibri"/>
      <w:i w:val="false"/>
      <w:color w:val="auto"/>
    </w:rPr>
  </w:style>
  <w:style w:type="character" w:styleId="ListLabel44">
    <w:name w:val="ListLabel 44"/>
    <w:qFormat/>
    <w:rPr>
      <w:rFonts w:eastAsia="Calibri"/>
      <w:i/>
      <w:color w:val="FF0000"/>
    </w:rPr>
  </w:style>
  <w:style w:type="character" w:styleId="ListLabel45">
    <w:name w:val="ListLabel 45"/>
    <w:qFormat/>
    <w:rPr>
      <w:rFonts w:eastAsia="Calibri"/>
      <w:i/>
      <w:color w:val="FF0000"/>
    </w:rPr>
  </w:style>
  <w:style w:type="character" w:styleId="ListLabel46">
    <w:name w:val="ListLabel 46"/>
    <w:qFormat/>
    <w:rPr>
      <w:rFonts w:eastAsia="Calibri"/>
      <w:i/>
      <w:color w:val="FF0000"/>
    </w:rPr>
  </w:style>
  <w:style w:type="character" w:styleId="ListLabel47">
    <w:name w:val="ListLabel 47"/>
    <w:qFormat/>
    <w:rPr>
      <w:rFonts w:eastAsia="Calibri"/>
      <w:i/>
      <w:color w:val="FF0000"/>
    </w:rPr>
  </w:style>
  <w:style w:type="character" w:styleId="ListLabel48">
    <w:name w:val="ListLabel 48"/>
    <w:qFormat/>
    <w:rPr>
      <w:rFonts w:eastAsia="Calibri"/>
      <w:i/>
      <w:color w:val="FF0000"/>
    </w:rPr>
  </w:style>
  <w:style w:type="character" w:styleId="ListLabel49">
    <w:name w:val="ListLabel 49"/>
    <w:qFormat/>
    <w:rPr>
      <w:rFonts w:eastAsia="Calibri"/>
      <w:i/>
      <w:color w:val="FF0000"/>
    </w:rPr>
  </w:style>
  <w:style w:type="character" w:styleId="ListLabel50">
    <w:name w:val="ListLabel 50"/>
    <w:qFormat/>
    <w:rPr>
      <w:b/>
      <w:i w:val="false"/>
      <w:strike w:val="false"/>
      <w:dstrike w:val="false"/>
      <w:color w:val="auto"/>
      <w:sz w:val="24"/>
      <w:szCs w:val="24"/>
    </w:rPr>
  </w:style>
  <w:style w:type="character" w:styleId="ListLabel51">
    <w:name w:val="ListLabel 51"/>
    <w:qFormat/>
    <w:rPr>
      <w:b w:val="false"/>
      <w:bCs w:val="false"/>
      <w:i w:val="false"/>
      <w:strike w:val="false"/>
      <w:dstrike w:val="false"/>
      <w:color w:val="auto"/>
      <w:u w:val="none"/>
      <w:effect w:val="none"/>
    </w:rPr>
  </w:style>
  <w:style w:type="character" w:styleId="ListLabel52">
    <w:name w:val="ListLabel 52"/>
    <w:qFormat/>
    <w:rPr>
      <w:b w:val="false"/>
      <w:i w:val="false"/>
      <w:color w:val="auto"/>
      <w:sz w:val="20"/>
      <w:szCs w:val="20"/>
    </w:rPr>
  </w:style>
  <w:style w:type="character" w:styleId="ListLabel53">
    <w:name w:val="ListLabel 53"/>
    <w:qFormat/>
    <w:rPr>
      <w:sz w:val="20"/>
      <w:szCs w:val="20"/>
    </w:rPr>
  </w:style>
  <w:style w:type="character" w:styleId="ListLabel54">
    <w:name w:val="ListLabel 54"/>
    <w:qFormat/>
    <w:rPr>
      <w:b/>
      <w:color w:val="auto"/>
    </w:rPr>
  </w:style>
  <w:style w:type="character" w:styleId="ListLabel55">
    <w:name w:val="ListLabel 55"/>
    <w:qFormat/>
    <w:rPr>
      <w:b w:val="false"/>
      <w:i w:val="false"/>
      <w:strike w:val="false"/>
      <w:dstrike w:val="false"/>
      <w:color w:val="auto"/>
      <w:u w:val="none"/>
      <w:effect w:val="none"/>
    </w:rPr>
  </w:style>
  <w:style w:type="character" w:styleId="ListLabel56">
    <w:name w:val="ListLabel 56"/>
    <w:qFormat/>
    <w:rPr>
      <w:b w:val="false"/>
      <w:i w:val="false"/>
      <w:color w:val="auto"/>
      <w:sz w:val="20"/>
      <w:szCs w:val="20"/>
    </w:rPr>
  </w:style>
  <w:style w:type="character" w:styleId="ListLabel57">
    <w:name w:val="ListLabel 57"/>
    <w:qFormat/>
    <w:rPr>
      <w:sz w:val="20"/>
      <w:szCs w:val="20"/>
    </w:rPr>
  </w:style>
  <w:style w:type="character" w:styleId="ListLabel58">
    <w:name w:val="ListLabel 58"/>
    <w:qFormat/>
    <w:rPr>
      <w:b/>
      <w:color w:val="auto"/>
    </w:rPr>
  </w:style>
  <w:style w:type="character" w:styleId="ListLabel59">
    <w:name w:val="ListLabel 59"/>
    <w:qFormat/>
    <w:rPr>
      <w:b w:val="false"/>
      <w:i w:val="false"/>
      <w:strike w:val="false"/>
      <w:dstrike w:val="false"/>
      <w:color w:val="auto"/>
      <w:u w:val="none"/>
      <w:effect w:val="none"/>
    </w:rPr>
  </w:style>
  <w:style w:type="character" w:styleId="ListLabel60">
    <w:name w:val="ListLabel 60"/>
    <w:qFormat/>
    <w:rPr>
      <w:b w:val="false"/>
      <w:i w:val="false"/>
      <w:color w:val="auto"/>
      <w:sz w:val="20"/>
      <w:szCs w:val="20"/>
    </w:rPr>
  </w:style>
  <w:style w:type="character" w:styleId="ListLabel61">
    <w:name w:val="ListLabel 61"/>
    <w:qFormat/>
    <w:rPr>
      <w:sz w:val="20"/>
      <w:szCs w:val="20"/>
    </w:rPr>
  </w:style>
  <w:style w:type="character" w:styleId="ListLabel62">
    <w:name w:val="ListLabel 62"/>
    <w:qFormat/>
    <w:rPr>
      <w:b/>
      <w:i w:val="false"/>
      <w:strike w:val="false"/>
      <w:dstrike w:val="false"/>
      <w:color w:val="auto"/>
      <w:sz w:val="24"/>
      <w:szCs w:val="24"/>
    </w:rPr>
  </w:style>
  <w:style w:type="character" w:styleId="ListLabel63">
    <w:name w:val="ListLabel 63"/>
    <w:qFormat/>
    <w:rPr>
      <w:b w:val="false"/>
      <w:bCs w:val="false"/>
      <w:i w:val="false"/>
      <w:strike w:val="false"/>
      <w:dstrike w:val="false"/>
      <w:color w:val="auto"/>
      <w:sz w:val="24"/>
      <w:szCs w:val="24"/>
      <w:u w:val="none"/>
      <w:effect w:val="none"/>
    </w:rPr>
  </w:style>
  <w:style w:type="character" w:styleId="ListLabel64">
    <w:name w:val="ListLabel 64"/>
    <w:qFormat/>
    <w:rPr>
      <w:b w:val="false"/>
      <w:i w:val="false"/>
      <w:color w:val="auto"/>
      <w:sz w:val="24"/>
      <w:szCs w:val="24"/>
    </w:rPr>
  </w:style>
  <w:style w:type="character" w:styleId="ListLabel65">
    <w:name w:val="ListLabel 65"/>
    <w:qFormat/>
    <w:rPr>
      <w:sz w:val="24"/>
      <w:szCs w:val="24"/>
    </w:rPr>
  </w:style>
  <w:style w:type="character" w:styleId="ListLabel66">
    <w:name w:val="ListLabel 66"/>
    <w:qFormat/>
    <w:rPr>
      <w:rFonts w:ascii="Calibri" w:hAnsi="Calibri"/>
      <w:b/>
      <w:color w:val="auto"/>
    </w:rPr>
  </w:style>
  <w:style w:type="character" w:styleId="ListLabel67">
    <w:name w:val="ListLabel 67"/>
    <w:qFormat/>
    <w:rPr>
      <w:b w:val="false"/>
      <w:i w:val="false"/>
      <w:strike w:val="false"/>
      <w:dstrike w:val="false"/>
      <w:color w:val="auto"/>
      <w:u w:val="none"/>
      <w:effect w:val="none"/>
    </w:rPr>
  </w:style>
  <w:style w:type="character" w:styleId="ListLabel68">
    <w:name w:val="ListLabel 68"/>
    <w:qFormat/>
    <w:rPr>
      <w:b w:val="false"/>
      <w:i w:val="false"/>
      <w:color w:val="auto"/>
      <w:sz w:val="20"/>
      <w:szCs w:val="20"/>
    </w:rPr>
  </w:style>
  <w:style w:type="character" w:styleId="ListLabel69">
    <w:name w:val="ListLabel 69"/>
    <w:qFormat/>
    <w:rPr>
      <w:sz w:val="20"/>
      <w:szCs w:val="20"/>
    </w:rPr>
  </w:style>
  <w:style w:type="character" w:styleId="ListLabel70">
    <w:name w:val="ListLabel 70"/>
    <w:qFormat/>
    <w:rPr>
      <w:b/>
      <w:color w:val="auto"/>
    </w:rPr>
  </w:style>
  <w:style w:type="character" w:styleId="ListLabel71">
    <w:name w:val="ListLabel 71"/>
    <w:qFormat/>
    <w:rPr>
      <w:rFonts w:ascii="Calibri" w:hAnsi="Calibri"/>
      <w:b w:val="false"/>
      <w:i w:val="false"/>
      <w:strike w:val="false"/>
      <w:dstrike w:val="false"/>
      <w:color w:val="auto"/>
      <w:sz w:val="24"/>
      <w:szCs w:val="24"/>
      <w:u w:val="none"/>
      <w:effect w:val="none"/>
    </w:rPr>
  </w:style>
  <w:style w:type="character" w:styleId="ListLabel72">
    <w:name w:val="ListLabel 72"/>
    <w:qFormat/>
    <w:rPr>
      <w:b w:val="false"/>
      <w:i w:val="false"/>
      <w:color w:val="auto"/>
      <w:sz w:val="20"/>
      <w:szCs w:val="20"/>
    </w:rPr>
  </w:style>
  <w:style w:type="character" w:styleId="ListLabel73">
    <w:name w:val="ListLabel 73"/>
    <w:qFormat/>
    <w:rPr>
      <w:sz w:val="20"/>
      <w:szCs w:val="20"/>
    </w:rPr>
  </w:style>
  <w:style w:type="character" w:styleId="ListLabel74">
    <w:name w:val="ListLabel 74"/>
    <w:qFormat/>
    <w:rPr>
      <w:rFonts w:ascii="Calibri" w:hAnsi="Calibri"/>
      <w:b/>
      <w:i w:val="false"/>
      <w:strike w:val="false"/>
      <w:dstrike w:val="false"/>
      <w:color w:val="auto"/>
      <w:sz w:val="24"/>
      <w:szCs w:val="24"/>
    </w:rPr>
  </w:style>
  <w:style w:type="character" w:styleId="ListLabel75">
    <w:name w:val="ListLabel 75"/>
    <w:qFormat/>
    <w:rPr>
      <w:rFonts w:ascii="Calibri" w:hAnsi="Calibri"/>
      <w:b w:val="false"/>
      <w:bCs w:val="false"/>
      <w:i w:val="false"/>
      <w:strike w:val="false"/>
      <w:dstrike w:val="false"/>
      <w:color w:val="auto"/>
      <w:sz w:val="24"/>
      <w:szCs w:val="24"/>
      <w:u w:val="none"/>
      <w:effect w:val="none"/>
    </w:rPr>
  </w:style>
  <w:style w:type="character" w:styleId="ListLabel76">
    <w:name w:val="ListLabel 76"/>
    <w:qFormat/>
    <w:rPr>
      <w:rFonts w:ascii="Calibri" w:hAnsi="Calibri"/>
      <w:b/>
      <w:i w:val="false"/>
      <w:color w:val="auto"/>
      <w:sz w:val="24"/>
      <w:szCs w:val="24"/>
    </w:rPr>
  </w:style>
  <w:style w:type="character" w:styleId="ListLabel77">
    <w:name w:val="ListLabel 77"/>
    <w:qFormat/>
    <w:rPr>
      <w:rFonts w:ascii="Calibri" w:hAnsi="Calibri"/>
      <w:sz w:val="24"/>
      <w:szCs w:val="24"/>
    </w:rPr>
  </w:style>
  <w:style w:type="character" w:styleId="ListLabel78">
    <w:name w:val="ListLabel 78"/>
    <w:qFormat/>
    <w:rPr>
      <w:rFonts w:eastAsia="Calibri"/>
      <w:i/>
      <w:color w:val="FF0000"/>
    </w:rPr>
  </w:style>
  <w:style w:type="character" w:styleId="ListLabel79">
    <w:name w:val="ListLabel 79"/>
    <w:qFormat/>
    <w:rPr>
      <w:rFonts w:ascii="Calibri" w:hAnsi="Calibri" w:eastAsia="Calibri" w:cs="Arial"/>
      <w:i w:val="false"/>
      <w:color w:val="auto"/>
    </w:rPr>
  </w:style>
  <w:style w:type="character" w:styleId="ListLabel80">
    <w:name w:val="ListLabel 80"/>
    <w:qFormat/>
    <w:rPr>
      <w:rFonts w:ascii="Calibri" w:hAnsi="Calibri" w:eastAsia="Calibri"/>
      <w:i w:val="false"/>
      <w:color w:val="auto"/>
    </w:rPr>
  </w:style>
  <w:style w:type="character" w:styleId="ListLabel81">
    <w:name w:val="ListLabel 81"/>
    <w:qFormat/>
    <w:rPr>
      <w:rFonts w:eastAsia="Calibri"/>
      <w:i/>
      <w:color w:val="FF0000"/>
    </w:rPr>
  </w:style>
  <w:style w:type="character" w:styleId="ListLabel82">
    <w:name w:val="ListLabel 82"/>
    <w:qFormat/>
    <w:rPr>
      <w:rFonts w:eastAsia="Calibri"/>
      <w:i/>
      <w:color w:val="FF0000"/>
    </w:rPr>
  </w:style>
  <w:style w:type="character" w:styleId="ListLabel83">
    <w:name w:val="ListLabel 83"/>
    <w:qFormat/>
    <w:rPr>
      <w:rFonts w:eastAsia="Calibri"/>
      <w:i/>
      <w:color w:val="FF0000"/>
    </w:rPr>
  </w:style>
  <w:style w:type="character" w:styleId="ListLabel84">
    <w:name w:val="ListLabel 84"/>
    <w:qFormat/>
    <w:rPr>
      <w:rFonts w:eastAsia="Calibri"/>
      <w:i/>
      <w:color w:val="FF0000"/>
    </w:rPr>
  </w:style>
  <w:style w:type="character" w:styleId="ListLabel85">
    <w:name w:val="ListLabel 85"/>
    <w:qFormat/>
    <w:rPr>
      <w:rFonts w:eastAsia="Calibri"/>
      <w:i/>
      <w:color w:val="FF0000"/>
    </w:rPr>
  </w:style>
  <w:style w:type="character" w:styleId="ListLabel86">
    <w:name w:val="ListLabel 86"/>
    <w:qFormat/>
    <w:rPr>
      <w:rFonts w:eastAsia="Calibri"/>
      <w:i/>
      <w:color w:val="FF0000"/>
    </w:rPr>
  </w:style>
  <w:style w:type="character" w:styleId="ListLabel87">
    <w:name w:val="ListLabel 87"/>
    <w:qFormat/>
    <w:rPr>
      <w:b w:val="false"/>
      <w:color w:val="FF0000"/>
    </w:rPr>
  </w:style>
  <w:style w:type="character" w:styleId="ListLabel88">
    <w:name w:val="ListLabel 88"/>
    <w:qFormat/>
    <w:rPr>
      <w:rFonts w:ascii="Calibri" w:hAnsi="Calibri"/>
      <w:b w:val="false"/>
      <w:i w:val="false"/>
      <w:color w:val="auto"/>
      <w:sz w:val="24"/>
      <w:szCs w:val="24"/>
    </w:rPr>
  </w:style>
  <w:style w:type="character" w:styleId="ListLabel89">
    <w:name w:val="ListLabel 89"/>
    <w:qFormat/>
    <w:rPr>
      <w:rFonts w:ascii="Calibri" w:hAnsi="Calibri"/>
      <w:b w:val="false"/>
      <w:i w:val="false"/>
      <w:color w:val="auto"/>
    </w:rPr>
  </w:style>
  <w:style w:type="character" w:styleId="ListLabel90">
    <w:name w:val="ListLabel 90"/>
    <w:qFormat/>
    <w:rPr>
      <w:b w:val="false"/>
      <w:i w:val="false"/>
      <w:color w:val="auto"/>
    </w:rPr>
  </w:style>
  <w:style w:type="character" w:styleId="ListLabel91">
    <w:name w:val="ListLabel 91"/>
    <w:qFormat/>
    <w:rPr>
      <w:b w:val="false"/>
      <w:color w:val="FF0000"/>
    </w:rPr>
  </w:style>
  <w:style w:type="character" w:styleId="ListLabel92">
    <w:name w:val="ListLabel 92"/>
    <w:qFormat/>
    <w:rPr>
      <w:b w:val="false"/>
      <w:color w:val="FF0000"/>
    </w:rPr>
  </w:style>
  <w:style w:type="character" w:styleId="ListLabel93">
    <w:name w:val="ListLabel 93"/>
    <w:qFormat/>
    <w:rPr>
      <w:b w:val="false"/>
      <w:color w:val="FF0000"/>
    </w:rPr>
  </w:style>
  <w:style w:type="character" w:styleId="ListLabel94">
    <w:name w:val="ListLabel 94"/>
    <w:qFormat/>
    <w:rPr>
      <w:b w:val="false"/>
      <w:color w:val="FF0000"/>
    </w:rPr>
  </w:style>
  <w:style w:type="character" w:styleId="ListLabel95">
    <w:name w:val="ListLabel 95"/>
    <w:qFormat/>
    <w:rPr>
      <w:b w:val="false"/>
      <w:color w:val="FF0000"/>
    </w:rPr>
  </w:style>
  <w:style w:type="character" w:styleId="ListLabel96">
    <w:name w:val="ListLabel 96"/>
    <w:qFormat/>
    <w:rPr>
      <w:rFonts w:ascii="Calibri" w:hAnsi="Calibri"/>
      <w:i w:val="false"/>
      <w:color w:val="auto"/>
      <w:sz w:val="24"/>
      <w:szCs w:val="24"/>
    </w:rPr>
  </w:style>
  <w:style w:type="character" w:styleId="ListLabel97">
    <w:name w:val="ListLabel 97"/>
    <w:qFormat/>
    <w:rPr>
      <w:rFonts w:ascii="Calibri" w:hAnsi="Calibri"/>
      <w:i w:val="false"/>
      <w:color w:val="auto"/>
      <w:sz w:val="24"/>
      <w:szCs w:val="24"/>
    </w:rPr>
  </w:style>
  <w:style w:type="character" w:styleId="ListLabel98">
    <w:name w:val="ListLabel 98"/>
    <w:qFormat/>
    <w:rPr>
      <w:rFonts w:ascii="Calibri" w:hAnsi="Calibri" w:eastAsia="Times New Roman" w:cs="Arial"/>
      <w:i/>
      <w:color w:val="FF0000"/>
      <w:sz w:val="20"/>
    </w:rPr>
  </w:style>
  <w:style w:type="character" w:styleId="ListLabel99">
    <w:name w:val="ListLabel 99"/>
    <w:qFormat/>
    <w:rPr>
      <w:rFonts w:ascii="Calibri" w:hAnsi="Calibri" w:eastAsia="Times New Roman" w:cs="Arial"/>
      <w:i w:val="false"/>
      <w:color w:val="auto"/>
      <w:sz w:val="24"/>
      <w:szCs w:val="24"/>
    </w:rPr>
  </w:style>
  <w:style w:type="character" w:styleId="ListLabel100">
    <w:name w:val="ListLabel 100"/>
    <w:qFormat/>
    <w:rPr>
      <w:rFonts w:ascii="Calibri" w:hAnsi="Calibri" w:eastAsia="Times New Roman" w:cs="Arial"/>
      <w:i w:val="false"/>
      <w:iCs/>
      <w:color w:val="auto"/>
      <w:sz w:val="24"/>
      <w:szCs w:val="24"/>
    </w:rPr>
  </w:style>
  <w:style w:type="character" w:styleId="ListLabel101">
    <w:name w:val="ListLabel 101"/>
    <w:qFormat/>
    <w:rPr>
      <w:rFonts w:eastAsia="Times New Roman" w:cs="Arial"/>
      <w:i/>
      <w:color w:val="FF0000"/>
      <w:sz w:val="20"/>
    </w:rPr>
  </w:style>
  <w:style w:type="character" w:styleId="ListLabel102">
    <w:name w:val="ListLabel 102"/>
    <w:qFormat/>
    <w:rPr>
      <w:rFonts w:eastAsia="Times New Roman" w:cs="Arial"/>
      <w:i/>
      <w:color w:val="FF0000"/>
      <w:sz w:val="20"/>
    </w:rPr>
  </w:style>
  <w:style w:type="character" w:styleId="ListLabel103">
    <w:name w:val="ListLabel 103"/>
    <w:qFormat/>
    <w:rPr>
      <w:rFonts w:eastAsia="Times New Roman" w:cs="Arial"/>
      <w:i/>
      <w:color w:val="FF0000"/>
      <w:sz w:val="20"/>
    </w:rPr>
  </w:style>
  <w:style w:type="character" w:styleId="ListLabel104">
    <w:name w:val="ListLabel 104"/>
    <w:qFormat/>
    <w:rPr>
      <w:rFonts w:eastAsia="Times New Roman" w:cs="Arial"/>
      <w:i/>
      <w:color w:val="FF0000"/>
      <w:sz w:val="20"/>
    </w:rPr>
  </w:style>
  <w:style w:type="character" w:styleId="ListLabel105">
    <w:name w:val="ListLabel 105"/>
    <w:qFormat/>
    <w:rPr>
      <w:rFonts w:eastAsia="Times New Roman" w:cs="Arial"/>
      <w:i/>
      <w:color w:val="FF0000"/>
      <w:sz w:val="20"/>
    </w:rPr>
  </w:style>
  <w:style w:type="character" w:styleId="ListLabel106">
    <w:name w:val="ListLabel 106"/>
    <w:qFormat/>
    <w:rPr>
      <w:rFonts w:eastAsia="Calibri"/>
      <w:i/>
      <w:color w:val="FF0000"/>
    </w:rPr>
  </w:style>
  <w:style w:type="character" w:styleId="ListLabel107">
    <w:name w:val="ListLabel 107"/>
    <w:qFormat/>
    <w:rPr>
      <w:rFonts w:ascii="Calibri" w:hAnsi="Calibri" w:eastAsia="Calibri" w:cs="Arial"/>
      <w:i w:val="false"/>
      <w:color w:val="auto"/>
    </w:rPr>
  </w:style>
  <w:style w:type="character" w:styleId="ListLabel108">
    <w:name w:val="ListLabel 108"/>
    <w:qFormat/>
    <w:rPr>
      <w:rFonts w:ascii="Calibri" w:hAnsi="Calibri" w:eastAsia="Calibri"/>
      <w:i w:val="false"/>
      <w:color w:val="auto"/>
    </w:rPr>
  </w:style>
  <w:style w:type="character" w:styleId="ListLabel109">
    <w:name w:val="ListLabel 109"/>
    <w:qFormat/>
    <w:rPr>
      <w:rFonts w:eastAsia="Calibri"/>
      <w:i/>
      <w:color w:val="FF0000"/>
    </w:rPr>
  </w:style>
  <w:style w:type="character" w:styleId="ListLabel110">
    <w:name w:val="ListLabel 110"/>
    <w:qFormat/>
    <w:rPr>
      <w:rFonts w:eastAsia="Calibri"/>
      <w:i/>
      <w:color w:val="FF0000"/>
    </w:rPr>
  </w:style>
  <w:style w:type="character" w:styleId="ListLabel111">
    <w:name w:val="ListLabel 111"/>
    <w:qFormat/>
    <w:rPr>
      <w:rFonts w:eastAsia="Calibri"/>
      <w:i/>
      <w:color w:val="FF0000"/>
    </w:rPr>
  </w:style>
  <w:style w:type="character" w:styleId="ListLabel112">
    <w:name w:val="ListLabel 112"/>
    <w:qFormat/>
    <w:rPr>
      <w:rFonts w:eastAsia="Calibri"/>
      <w:i/>
      <w:color w:val="FF0000"/>
    </w:rPr>
  </w:style>
  <w:style w:type="character" w:styleId="ListLabel113">
    <w:name w:val="ListLabel 113"/>
    <w:qFormat/>
    <w:rPr>
      <w:rFonts w:eastAsia="Calibri"/>
      <w:i/>
      <w:color w:val="FF0000"/>
    </w:rPr>
  </w:style>
  <w:style w:type="character" w:styleId="ListLabel114">
    <w:name w:val="ListLabel 114"/>
    <w:qFormat/>
    <w:rPr>
      <w:rFonts w:eastAsia="Calibri"/>
      <w:i/>
      <w:color w:val="FF0000"/>
    </w:rPr>
  </w:style>
  <w:style w:type="character" w:styleId="ListLabel115">
    <w:name w:val="ListLabel 115"/>
    <w:qFormat/>
    <w:rPr>
      <w:b/>
      <w:color w:val="auto"/>
    </w:rPr>
  </w:style>
  <w:style w:type="character" w:styleId="ListLabel116">
    <w:name w:val="ListLabel 116"/>
    <w:qFormat/>
    <w:rPr>
      <w:b w:val="false"/>
      <w:i w:val="false"/>
      <w:strike w:val="false"/>
      <w:dstrike w:val="false"/>
      <w:color w:val="auto"/>
      <w:u w:val="none"/>
      <w:effect w:val="none"/>
    </w:rPr>
  </w:style>
  <w:style w:type="character" w:styleId="ListLabel117">
    <w:name w:val="ListLabel 117"/>
    <w:qFormat/>
    <w:rPr>
      <w:b w:val="false"/>
      <w:i w:val="false"/>
      <w:color w:val="auto"/>
      <w:sz w:val="20"/>
      <w:szCs w:val="20"/>
    </w:rPr>
  </w:style>
  <w:style w:type="character" w:styleId="ListLabel118">
    <w:name w:val="ListLabel 118"/>
    <w:qFormat/>
    <w:rPr>
      <w:sz w:val="20"/>
      <w:szCs w:val="20"/>
    </w:rPr>
  </w:style>
  <w:style w:type="paragraph" w:styleId="Ttulo">
    <w:name w:val="Título"/>
    <w:basedOn w:val="Normal"/>
    <w:next w:val="Corpodetexto"/>
    <w:qFormat/>
    <w:pPr>
      <w:keepNext w:val="true"/>
      <w:spacing w:before="240" w:after="120"/>
    </w:pPr>
    <w:rPr>
      <w:rFonts w:ascii="Liberation Sans" w:hAnsi="Liberation Sans" w:eastAsia="Noto Sans CJK SC" w:cs="Lohit Devanagari"/>
      <w:sz w:val="28"/>
      <w:szCs w:val="28"/>
    </w:rPr>
  </w:style>
  <w:style w:type="paragraph" w:styleId="Corpodetexto">
    <w:name w:val="Body Text"/>
    <w:basedOn w:val="Normal"/>
    <w:rsid w:val="004622f8"/>
    <w:pPr>
      <w:spacing w:lineRule="auto" w:line="276" w:before="0" w:after="140"/>
    </w:pPr>
    <w:rPr/>
  </w:style>
  <w:style w:type="paragraph" w:styleId="Lista">
    <w:name w:val="List"/>
    <w:basedOn w:val="Corpodetexto"/>
    <w:rsid w:val="004622f8"/>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customStyle="1">
    <w:name w:val="Índice"/>
    <w:basedOn w:val="Normal"/>
    <w:qFormat/>
    <w:rsid w:val="004622f8"/>
    <w:pPr>
      <w:suppressLineNumbers/>
    </w:pPr>
    <w:rPr>
      <w:rFonts w:cs="Lohit Devanagari"/>
    </w:rPr>
  </w:style>
  <w:style w:type="paragraph" w:styleId="Ttulo11" w:customStyle="1">
    <w:name w:val="Título 11"/>
    <w:basedOn w:val="Normal"/>
    <w:next w:val="Normal"/>
    <w:qFormat/>
    <w:rsid w:val="004622f8"/>
    <w:pPr>
      <w:keepNext w:val="true"/>
      <w:keepLines/>
      <w:spacing w:before="240" w:after="0"/>
      <w:outlineLvl w:val="0"/>
    </w:pPr>
    <w:rPr>
      <w:rFonts w:ascii="Calibri Light" w:hAnsi="Calibri Light" w:eastAsia="Yu Gothic Light" w:cs="Times New Roman"/>
      <w:color w:val="2F5496"/>
      <w:sz w:val="32"/>
      <w:szCs w:val="32"/>
    </w:rPr>
  </w:style>
  <w:style w:type="paragraph" w:styleId="Ttulo31" w:customStyle="1">
    <w:name w:val="Título 31"/>
    <w:basedOn w:val="Normal"/>
    <w:next w:val="Normal"/>
    <w:qFormat/>
    <w:rsid w:val="004622f8"/>
    <w:pPr>
      <w:keepNext w:val="true"/>
      <w:keepLines/>
      <w:spacing w:before="40" w:after="0"/>
      <w:outlineLvl w:val="2"/>
    </w:pPr>
    <w:rPr>
      <w:rFonts w:ascii="Calibri Light" w:hAnsi="Calibri Light" w:eastAsia="Yu Gothic Light" w:cs="Times New Roman"/>
      <w:color w:val="1F3763"/>
      <w:sz w:val="24"/>
      <w:szCs w:val="24"/>
    </w:rPr>
  </w:style>
  <w:style w:type="paragraph" w:styleId="Ttulo61" w:customStyle="1">
    <w:name w:val="Título 61"/>
    <w:basedOn w:val="Normal"/>
    <w:next w:val="Normal"/>
    <w:qFormat/>
    <w:rsid w:val="004622f8"/>
    <w:pPr>
      <w:keepNext w:val="true"/>
      <w:keepLines/>
      <w:spacing w:before="40" w:after="0"/>
      <w:outlineLvl w:val="5"/>
    </w:pPr>
    <w:rPr>
      <w:rFonts w:ascii="Calibri Light" w:hAnsi="Calibri Light" w:eastAsia="Yu Gothic Light" w:cs="Times New Roman"/>
      <w:color w:val="1F3763"/>
    </w:rPr>
  </w:style>
  <w:style w:type="paragraph" w:styleId="Ttulododocumento">
    <w:name w:val="Title"/>
    <w:basedOn w:val="Normal"/>
    <w:qFormat/>
    <w:rsid w:val="004622f8"/>
    <w:pPr>
      <w:keepNext w:val="true"/>
      <w:spacing w:before="240" w:after="120"/>
    </w:pPr>
    <w:rPr>
      <w:rFonts w:ascii="Liberation Sans" w:hAnsi="Liberation Sans" w:eastAsia="Noto Sans CJK SC" w:cs="Lohit Devanagari"/>
      <w:sz w:val="28"/>
      <w:szCs w:val="28"/>
    </w:rPr>
  </w:style>
  <w:style w:type="paragraph" w:styleId="Legenda1" w:customStyle="1">
    <w:name w:val="Legenda1"/>
    <w:basedOn w:val="Normal"/>
    <w:qFormat/>
    <w:rsid w:val="004622f8"/>
    <w:pPr>
      <w:suppressLineNumbers/>
      <w:spacing w:before="120" w:after="120"/>
    </w:pPr>
    <w:rPr>
      <w:rFonts w:cs="Lohit Devanagari"/>
      <w:i/>
      <w:iCs/>
      <w:sz w:val="24"/>
      <w:szCs w:val="24"/>
    </w:rPr>
  </w:style>
  <w:style w:type="paragraph" w:styleId="Quote">
    <w:name w:val="Quote"/>
    <w:basedOn w:val="Normal"/>
    <w:next w:val="Normal"/>
    <w:qFormat/>
    <w:rsid w:val="004622f8"/>
    <w:pPr>
      <w:pBdr>
        <w:top w:val="single" w:sz="4" w:space="1" w:color="1F497D"/>
        <w:left w:val="single" w:sz="4" w:space="4" w:color="1F497D"/>
        <w:bottom w:val="single" w:sz="4" w:space="1" w:color="1F497D"/>
        <w:right w:val="single" w:sz="4" w:space="4" w:color="1F497D"/>
      </w:pBdr>
      <w:shd w:val="clear" w:color="auto" w:fill="FFFFCC"/>
      <w:spacing w:lineRule="auto" w:line="240" w:before="120" w:after="0"/>
      <w:jc w:val="both"/>
    </w:pPr>
    <w:rPr>
      <w:rFonts w:ascii="Arial" w:hAnsi="Arial" w:cs="Tahoma"/>
      <w:i/>
      <w:iCs/>
      <w:color w:val="000000"/>
      <w:sz w:val="20"/>
      <w:szCs w:val="24"/>
    </w:rPr>
  </w:style>
  <w:style w:type="paragraph" w:styleId="Nivel1" w:customStyle="1">
    <w:name w:val="Nivel1"/>
    <w:basedOn w:val="Ttulo11"/>
    <w:next w:val="Normal"/>
    <w:qFormat/>
    <w:rsid w:val="004622f8"/>
    <w:pPr>
      <w:spacing w:lineRule="auto" w:line="276" w:before="480" w:after="120"/>
      <w:jc w:val="both"/>
    </w:pPr>
    <w:rPr>
      <w:rFonts w:ascii="Calibri" w:hAnsi="Calibri" w:cs="Arial"/>
      <w:b/>
      <w:color w:val="000000"/>
      <w:sz w:val="24"/>
    </w:rPr>
  </w:style>
  <w:style w:type="paragraph" w:styleId="ListParagraph">
    <w:name w:val="List Paragraph"/>
    <w:basedOn w:val="Normal"/>
    <w:qFormat/>
    <w:rsid w:val="004622f8"/>
    <w:pPr>
      <w:spacing w:before="0" w:after="160"/>
      <w:ind w:left="720" w:hanging="0"/>
      <w:contextualSpacing/>
    </w:pPr>
    <w:rPr>
      <w:sz w:val="24"/>
    </w:rPr>
  </w:style>
  <w:style w:type="paragraph" w:styleId="NormalWeb">
    <w:name w:val="Normal (Web)"/>
    <w:basedOn w:val="Normal"/>
    <w:qFormat/>
    <w:rsid w:val="004622f8"/>
    <w:pPr>
      <w:spacing w:lineRule="auto" w:line="240" w:before="280" w:after="280"/>
    </w:pPr>
    <w:rPr>
      <w:rFonts w:ascii="Times New Roman" w:hAnsi="Times New Roman" w:eastAsia="Times New Roman" w:cs="Times New Roman"/>
      <w:sz w:val="24"/>
      <w:szCs w:val="24"/>
      <w:lang w:eastAsia="pt-BR"/>
    </w:rPr>
  </w:style>
  <w:style w:type="paragraph" w:styleId="SombreamentoMdio1nfase31" w:customStyle="1">
    <w:name w:val="Sombreamento Médio 1 - Ênfase 31"/>
    <w:basedOn w:val="Normal"/>
    <w:next w:val="Normal"/>
    <w:qFormat/>
    <w:rsid w:val="004622f8"/>
    <w:pPr>
      <w:pBdr>
        <w:top w:val="single" w:sz="4" w:space="1" w:color="000080"/>
        <w:left w:val="single" w:sz="4" w:space="4" w:color="000080"/>
        <w:bottom w:val="single" w:sz="4" w:space="1" w:color="000080"/>
        <w:right w:val="single" w:sz="4" w:space="4" w:color="000080"/>
      </w:pBdr>
      <w:shd w:val="clear" w:color="auto" w:fill="FFFFCC"/>
      <w:spacing w:lineRule="auto" w:line="240" w:before="120" w:after="0"/>
      <w:jc w:val="both"/>
    </w:pPr>
    <w:rPr>
      <w:rFonts w:ascii="Ecofont_Spranq_eco_Sans" w:hAnsi="Ecofont_Spranq_eco_Sans" w:cs="Tahoma"/>
      <w:i/>
      <w:iCs/>
      <w:color w:val="000000"/>
      <w:sz w:val="20"/>
      <w:szCs w:val="24"/>
      <w:lang w:eastAsia="zh-CN"/>
    </w:rPr>
  </w:style>
  <w:style w:type="paragraph" w:styleId="Corpo" w:customStyle="1">
    <w:name w:val="corpo"/>
    <w:basedOn w:val="Normal"/>
    <w:qFormat/>
    <w:rsid w:val="004622f8"/>
    <w:pPr>
      <w:spacing w:lineRule="auto" w:line="240" w:before="280" w:after="280"/>
    </w:pPr>
    <w:rPr>
      <w:rFonts w:ascii="Times New Roman" w:hAnsi="Times New Roman" w:eastAsia="Times New Roman" w:cs="Times New Roman"/>
      <w:sz w:val="24"/>
      <w:szCs w:val="24"/>
      <w:lang w:eastAsia="pt-BR"/>
    </w:rPr>
  </w:style>
  <w:style w:type="paragraph" w:styleId="Annotationtext">
    <w:name w:val="annotation text"/>
    <w:basedOn w:val="Normal"/>
    <w:qFormat/>
    <w:rsid w:val="004622f8"/>
    <w:pPr>
      <w:spacing w:lineRule="auto" w:line="240"/>
    </w:pPr>
    <w:rPr>
      <w:sz w:val="20"/>
      <w:szCs w:val="20"/>
    </w:rPr>
  </w:style>
  <w:style w:type="paragraph" w:styleId="Annotationsubject">
    <w:name w:val="annotation subject"/>
    <w:basedOn w:val="Annotationtext"/>
    <w:qFormat/>
    <w:rsid w:val="004622f8"/>
    <w:pPr/>
    <w:rPr>
      <w:b/>
      <w:bCs/>
    </w:rPr>
  </w:style>
  <w:style w:type="paragraph" w:styleId="Itemnivel2" w:customStyle="1">
    <w:name w:val="item_nivel2"/>
    <w:basedOn w:val="Normal"/>
    <w:qFormat/>
    <w:rsid w:val="004622f8"/>
    <w:pPr>
      <w:spacing w:lineRule="auto" w:line="240" w:before="280" w:after="280"/>
    </w:pPr>
    <w:rPr>
      <w:rFonts w:ascii="Times New Roman" w:hAnsi="Times New Roman" w:eastAsia="Times New Roman" w:cs="Times New Roman"/>
      <w:sz w:val="24"/>
      <w:szCs w:val="24"/>
      <w:lang w:eastAsia="pt-BR"/>
    </w:rPr>
  </w:style>
  <w:style w:type="paragraph" w:styleId="Itemnivel1" w:customStyle="1">
    <w:name w:val="item_nivel1"/>
    <w:basedOn w:val="Normal"/>
    <w:qFormat/>
    <w:rsid w:val="004622f8"/>
    <w:pPr>
      <w:spacing w:lineRule="auto" w:line="240" w:before="280" w:after="280"/>
    </w:pPr>
    <w:rPr>
      <w:rFonts w:ascii="Times New Roman" w:hAnsi="Times New Roman" w:eastAsia="Times New Roman" w:cs="Times New Roman"/>
      <w:sz w:val="24"/>
      <w:szCs w:val="24"/>
      <w:lang w:eastAsia="pt-BR"/>
    </w:rPr>
  </w:style>
  <w:style w:type="paragraph" w:styleId="Itemalinealetra" w:customStyle="1">
    <w:name w:val="item_alinea_letra"/>
    <w:basedOn w:val="Normal"/>
    <w:qFormat/>
    <w:rsid w:val="004622f8"/>
    <w:pPr>
      <w:spacing w:lineRule="auto" w:line="240" w:before="280" w:after="280"/>
    </w:pPr>
    <w:rPr>
      <w:rFonts w:ascii="Times New Roman" w:hAnsi="Times New Roman" w:eastAsia="Times New Roman" w:cs="Times New Roman"/>
      <w:sz w:val="24"/>
      <w:szCs w:val="24"/>
      <w:lang w:eastAsia="pt-BR"/>
    </w:rPr>
  </w:style>
  <w:style w:type="paragraph" w:styleId="Citao1" w:customStyle="1">
    <w:name w:val="Citação1"/>
    <w:basedOn w:val="Normal"/>
    <w:next w:val="Normal"/>
    <w:qFormat/>
    <w:rsid w:val="004622f8"/>
    <w:pPr>
      <w:pBdr>
        <w:top w:val="single" w:sz="4" w:space="1" w:color="1F497D"/>
        <w:left w:val="single" w:sz="4" w:space="4" w:color="1F497D"/>
        <w:bottom w:val="single" w:sz="4" w:space="1" w:color="1F497D"/>
        <w:right w:val="single" w:sz="4" w:space="4" w:color="1F497D"/>
      </w:pBdr>
      <w:shd w:val="clear" w:color="auto" w:fill="FFFFCC"/>
      <w:spacing w:lineRule="auto" w:line="240" w:before="120" w:after="0"/>
      <w:jc w:val="both"/>
    </w:pPr>
    <w:rPr>
      <w:rFonts w:ascii="Ecofont_Spranq_eco_Sans" w:hAnsi="Ecofont_Spranq_eco_Sans" w:cs="Ecofont_Spranq_eco_Sans"/>
      <w:i/>
      <w:iCs/>
      <w:color w:val="000000"/>
      <w:sz w:val="24"/>
      <w:szCs w:val="24"/>
    </w:rPr>
  </w:style>
  <w:style w:type="paragraph" w:styleId="BalloonText">
    <w:name w:val="Balloon Text"/>
    <w:basedOn w:val="Normal"/>
    <w:qFormat/>
    <w:rsid w:val="004622f8"/>
    <w:pPr>
      <w:spacing w:lineRule="auto" w:line="240" w:before="0" w:after="0"/>
    </w:pPr>
    <w:rPr>
      <w:rFonts w:ascii="Segoe UI" w:hAnsi="Segoe UI" w:cs="Segoe UI"/>
      <w:sz w:val="18"/>
      <w:szCs w:val="18"/>
    </w:rPr>
  </w:style>
  <w:style w:type="paragraph" w:styleId="Standard" w:customStyle="1">
    <w:name w:val="Standard"/>
    <w:qFormat/>
    <w:rsid w:val="004622f8"/>
    <w:pPr>
      <w:widowControl/>
      <w:suppressAutoHyphens w:val="true"/>
      <w:bidi w:val="0"/>
      <w:ind w:left="714" w:hanging="357"/>
      <w:jc w:val="left"/>
    </w:pPr>
    <w:rPr>
      <w:rFonts w:ascii="Liberation Serif" w:hAnsi="Liberation Serif" w:eastAsia="NSimSun" w:cs="Lucida Sans"/>
      <w:color w:val="auto"/>
      <w:kern w:val="2"/>
      <w:sz w:val="24"/>
      <w:szCs w:val="24"/>
      <w:lang w:val="pt-BR" w:eastAsia="zh-CN" w:bidi="hi-IN"/>
    </w:rPr>
  </w:style>
  <w:style w:type="paragraph" w:styleId="Textbody" w:customStyle="1">
    <w:name w:val="Text body"/>
    <w:basedOn w:val="Standard"/>
    <w:qFormat/>
    <w:rsid w:val="004622f8"/>
    <w:pPr>
      <w:spacing w:lineRule="auto" w:line="276" w:before="0" w:after="140"/>
    </w:pPr>
    <w:rPr/>
  </w:style>
  <w:style w:type="paragraph" w:styleId="Citao2" w:customStyle="1">
    <w:name w:val="citação 2"/>
    <w:basedOn w:val="Quote"/>
    <w:qFormat/>
    <w:rsid w:val="004622f8"/>
    <w:pPr>
      <w:shd w:val="clear" w:fill="FFFFCC"/>
    </w:pPr>
    <w:rPr>
      <w:kern w:val="2"/>
      <w:szCs w:val="20"/>
      <w:lang w:eastAsia="zh-CN" w:bidi="hi-IN"/>
    </w:rPr>
  </w:style>
  <w:style w:type="paragraph" w:styleId="Nivel2" w:customStyle="1">
    <w:name w:val="Nivel 2"/>
    <w:basedOn w:val="Normal"/>
    <w:qFormat/>
    <w:rsid w:val="004622f8"/>
    <w:pPr>
      <w:tabs>
        <w:tab w:val="left" w:pos="567" w:leader="none"/>
      </w:tabs>
      <w:spacing w:lineRule="auto" w:line="276" w:before="120" w:after="120"/>
      <w:ind w:left="850" w:hanging="0"/>
      <w:jc w:val="both"/>
    </w:pPr>
    <w:rPr>
      <w:color w:val="000000"/>
      <w:sz w:val="24"/>
    </w:rPr>
  </w:style>
  <w:style w:type="paragraph" w:styleId="Nivel3" w:customStyle="1">
    <w:name w:val="Nivel 3"/>
    <w:basedOn w:val="ListParagraph"/>
    <w:qFormat/>
    <w:rsid w:val="004622f8"/>
    <w:pPr>
      <w:tabs>
        <w:tab w:val="left" w:pos="360" w:leader="none"/>
      </w:tabs>
      <w:spacing w:lineRule="auto" w:line="276" w:before="120" w:after="120"/>
      <w:ind w:left="425" w:hanging="0"/>
      <w:contextualSpacing/>
      <w:jc w:val="both"/>
    </w:pPr>
    <w:rPr>
      <w:rFonts w:ascii="Arial" w:hAnsi="Arial" w:eastAsia="Times New Roman"/>
      <w:sz w:val="20"/>
      <w:szCs w:val="20"/>
      <w:lang w:eastAsia="pt-BR"/>
    </w:rPr>
  </w:style>
  <w:style w:type="paragraph" w:styleId="Nivel4" w:customStyle="1">
    <w:name w:val="Nivel 4"/>
    <w:basedOn w:val="Nivel3"/>
    <w:qFormat/>
    <w:rsid w:val="004622f8"/>
    <w:pPr>
      <w:ind w:left="2491" w:hanging="648"/>
    </w:pPr>
    <w:rPr/>
  </w:style>
  <w:style w:type="paragraph" w:styleId="Nivel5" w:customStyle="1">
    <w:name w:val="Nivel 5"/>
    <w:basedOn w:val="Nivel4"/>
    <w:qFormat/>
    <w:rsid w:val="004622f8"/>
    <w:pPr>
      <w:ind w:left="3485" w:hanging="792"/>
    </w:pPr>
    <w:rPr/>
  </w:style>
  <w:style w:type="paragraph" w:styleId="PADRO" w:customStyle="1">
    <w:name w:val="PADRÃO"/>
    <w:qFormat/>
    <w:rsid w:val="004622f8"/>
    <w:pPr>
      <w:keepNext w:val="true"/>
      <w:widowControl w:val="false"/>
      <w:shd w:val="clear" w:color="auto" w:fill="FFFFFF"/>
      <w:suppressAutoHyphens w:val="true"/>
      <w:bidi w:val="0"/>
      <w:spacing w:lineRule="auto" w:line="276" w:before="119" w:after="119"/>
      <w:ind w:left="714" w:firstLine="567"/>
      <w:jc w:val="both"/>
    </w:pPr>
    <w:rPr>
      <w:rFonts w:ascii="Ecofont_Spranq_eco_Sans" w:hAnsi="Ecofont_Spranq_eco_Sans" w:eastAsia="WenQuanYi Micro Hei" w:cs="Lohit Hindi"/>
      <w:color w:val="auto"/>
      <w:kern w:val="0"/>
      <w:sz w:val="22"/>
      <w:szCs w:val="24"/>
      <w:lang w:val="pt-BR" w:eastAsia="zh-CN" w:bidi="hi-IN"/>
    </w:rPr>
  </w:style>
  <w:style w:type="paragraph" w:styleId="CabealhoeRodap" w:customStyle="1">
    <w:name w:val="Cabeçalho e Rodapé"/>
    <w:basedOn w:val="Normal"/>
    <w:qFormat/>
    <w:rsid w:val="004622f8"/>
    <w:pPr/>
    <w:rPr/>
  </w:style>
  <w:style w:type="paragraph" w:styleId="Cabealho1" w:customStyle="1">
    <w:name w:val="Cabeçalho1"/>
    <w:basedOn w:val="Normal"/>
    <w:qFormat/>
    <w:rsid w:val="004622f8"/>
    <w:pPr>
      <w:tabs>
        <w:tab w:val="center" w:pos="4252" w:leader="none"/>
        <w:tab w:val="right" w:pos="8504" w:leader="none"/>
      </w:tabs>
      <w:spacing w:lineRule="auto" w:line="240" w:before="0" w:after="0"/>
    </w:pPr>
    <w:rPr/>
  </w:style>
  <w:style w:type="paragraph" w:styleId="Rodap1" w:customStyle="1">
    <w:name w:val="Rodapé1"/>
    <w:basedOn w:val="Normal"/>
    <w:qFormat/>
    <w:rsid w:val="004622f8"/>
    <w:pPr>
      <w:tabs>
        <w:tab w:val="center" w:pos="4252" w:leader="none"/>
        <w:tab w:val="right" w:pos="8504" w:leader="none"/>
      </w:tabs>
      <w:spacing w:lineRule="auto" w:line="240" w:before="0" w:after="0"/>
    </w:pPr>
    <w:rPr/>
  </w:style>
  <w:style w:type="paragraph" w:styleId="Nivel01Titulo" w:customStyle="1">
    <w:name w:val="Nivel_01_Titulo"/>
    <w:basedOn w:val="Ttulo11"/>
    <w:next w:val="Normal"/>
    <w:qFormat/>
    <w:rsid w:val="004622f8"/>
    <w:pPr>
      <w:tabs>
        <w:tab w:val="left" w:pos="360" w:leader="none"/>
        <w:tab w:val="left" w:pos="567" w:leader="none"/>
      </w:tabs>
      <w:spacing w:lineRule="auto" w:line="240"/>
      <w:jc w:val="both"/>
    </w:pPr>
    <w:rPr>
      <w:rFonts w:ascii="Arial" w:hAnsi="Arial"/>
      <w:b/>
      <w:bCs/>
      <w:sz w:val="20"/>
      <w:szCs w:val="20"/>
      <w:lang w:eastAsia="pt-BR"/>
    </w:rPr>
  </w:style>
  <w:style w:type="paragraph" w:styleId="Revision">
    <w:name w:val="Revision"/>
    <w:qFormat/>
    <w:rsid w:val="004622f8"/>
    <w:pPr>
      <w:widowControl/>
      <w:suppressAutoHyphens w:val="true"/>
      <w:bidi w:val="0"/>
      <w:ind w:left="714" w:hanging="357"/>
      <w:jc w:val="left"/>
    </w:pPr>
    <w:rPr>
      <w:rFonts w:ascii="Calibri" w:hAnsi="Calibri" w:eastAsia="Calibri" w:cs="Arial"/>
      <w:color w:val="auto"/>
      <w:kern w:val="0"/>
      <w:sz w:val="22"/>
      <w:szCs w:val="22"/>
      <w:lang w:val="pt-BR" w:eastAsia="en-US" w:bidi="ar-SA"/>
    </w:rPr>
  </w:style>
  <w:style w:type="paragraph" w:styleId="Paragraph" w:customStyle="1">
    <w:name w:val="paragraph"/>
    <w:basedOn w:val="Normal"/>
    <w:qFormat/>
    <w:rsid w:val="004622f8"/>
    <w:pPr>
      <w:spacing w:lineRule="auto" w:line="240" w:before="280" w:after="280"/>
    </w:pPr>
    <w:rPr>
      <w:rFonts w:ascii="Times New Roman" w:hAnsi="Times New Roman" w:eastAsia="Times New Roman" w:cs="Times New Roman"/>
      <w:sz w:val="24"/>
      <w:szCs w:val="24"/>
      <w:lang w:eastAsia="pt-BR"/>
    </w:rPr>
  </w:style>
  <w:style w:type="paragraph" w:styleId="Contedodatabela" w:customStyle="1">
    <w:name w:val="Conteúdo da tabela"/>
    <w:basedOn w:val="Normal"/>
    <w:qFormat/>
    <w:rsid w:val="004622f8"/>
    <w:pPr>
      <w:suppressLineNumbers/>
    </w:pPr>
    <w:rPr/>
  </w:style>
  <w:style w:type="paragraph" w:styleId="Rodap">
    <w:name w:val="Footer"/>
    <w:basedOn w:val="Normal"/>
    <w:pPr/>
    <w:rPr/>
  </w:style>
  <w:style w:type="numbering" w:styleId="NoList" w:default="1">
    <w:name w:val="No List"/>
    <w:uiPriority w:val="99"/>
    <w:semiHidden/>
    <w:unhideWhenUsed/>
    <w:qFormat/>
  </w:style>
  <w:style w:type="numbering" w:styleId="NumeraoIVX" w:customStyle="1">
    <w:name w:val="Numeração IVX"/>
    <w:qFormat/>
    <w:rsid w:val="004622f8"/>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Application>LibreOffice/6.0.7.3$Linux_X86_64 LibreOffice_project/00m0$Build-3</Application>
  <Pages>9</Pages>
  <Words>3467</Words>
  <Characters>20533</Characters>
  <CharactersWithSpaces>23830</CharactersWithSpaces>
  <Paragraphs>140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2023-06-14T22:54:00Z</dcterms:created>
  <dc:creator>Marcela Ali Tarif</dc:creator>
  <dc:description/>
  <dc:language>pt-BR</dc:language>
  <cp:lastModifiedBy/>
  <dcterms:modified xsi:type="dcterms:W3CDTF">2023-06-16T13:58:39Z</dcterms:modified>
  <cp:revision>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ntentTypeId">
    <vt:lpwstr>0x01010012A2765E7DFD38469B2E626874CD0041</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